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183926" w:rsidRDefault="00D5547E" w:rsidP="007B2EDB">
      <w:pPr>
        <w:jc w:val="both"/>
        <w:rPr>
          <w:rFonts w:cs="Arial"/>
          <w:color w:val="auto"/>
        </w:rPr>
      </w:pPr>
    </w:p>
    <w:tbl>
      <w:tblPr>
        <w:tblW w:w="0" w:type="auto"/>
        <w:tblInd w:w="108" w:type="dxa"/>
        <w:tblLayout w:type="fixed"/>
        <w:tblLook w:val="04A0" w:firstRow="1" w:lastRow="0" w:firstColumn="1" w:lastColumn="0" w:noHBand="0" w:noVBand="1"/>
      </w:tblPr>
      <w:tblGrid>
        <w:gridCol w:w="2438"/>
        <w:gridCol w:w="6406"/>
      </w:tblGrid>
      <w:tr w:rsidR="00183926" w:rsidRPr="00183926" w:rsidTr="005F7F7E">
        <w:tc>
          <w:tcPr>
            <w:tcW w:w="2438" w:type="dxa"/>
            <w:shd w:val="clear" w:color="auto" w:fill="auto"/>
          </w:tcPr>
          <w:p w:rsidR="00F445B1" w:rsidRPr="00183926" w:rsidRDefault="00F445B1" w:rsidP="007B2EDB">
            <w:pPr>
              <w:jc w:val="both"/>
              <w:rPr>
                <w:rStyle w:val="Firstpagetablebold"/>
                <w:rFonts w:cs="Arial"/>
                <w:color w:val="auto"/>
              </w:rPr>
            </w:pPr>
            <w:r w:rsidRPr="00183926">
              <w:rPr>
                <w:rStyle w:val="Firstpagetablebold"/>
                <w:rFonts w:cs="Arial"/>
                <w:color w:val="auto"/>
              </w:rPr>
              <w:t>To</w:t>
            </w:r>
            <w:r w:rsidR="005C35A5" w:rsidRPr="00183926">
              <w:rPr>
                <w:rStyle w:val="Firstpagetablebold"/>
                <w:rFonts w:cs="Arial"/>
                <w:color w:val="auto"/>
              </w:rPr>
              <w:t>:</w:t>
            </w:r>
          </w:p>
        </w:tc>
        <w:tc>
          <w:tcPr>
            <w:tcW w:w="6406" w:type="dxa"/>
            <w:shd w:val="clear" w:color="auto" w:fill="auto"/>
          </w:tcPr>
          <w:p w:rsidR="00F445B1" w:rsidRPr="00183926" w:rsidRDefault="008D1577" w:rsidP="007B2EDB">
            <w:pPr>
              <w:jc w:val="both"/>
              <w:rPr>
                <w:rStyle w:val="Firstpagetablebold"/>
                <w:rFonts w:cs="Arial"/>
                <w:color w:val="auto"/>
              </w:rPr>
            </w:pPr>
            <w:r>
              <w:rPr>
                <w:rStyle w:val="Firstpagetablebold"/>
                <w:rFonts w:cs="Arial"/>
                <w:color w:val="auto"/>
              </w:rPr>
              <w:t xml:space="preserve">Cabinet </w:t>
            </w:r>
          </w:p>
        </w:tc>
      </w:tr>
      <w:tr w:rsidR="00183926" w:rsidRPr="00183926" w:rsidTr="00C164B1">
        <w:trPr>
          <w:trHeight w:val="275"/>
        </w:trPr>
        <w:tc>
          <w:tcPr>
            <w:tcW w:w="2438" w:type="dxa"/>
            <w:shd w:val="clear" w:color="auto" w:fill="auto"/>
          </w:tcPr>
          <w:p w:rsidR="00F445B1" w:rsidRPr="00183926" w:rsidRDefault="00F445B1" w:rsidP="007B2EDB">
            <w:pPr>
              <w:jc w:val="both"/>
              <w:rPr>
                <w:rStyle w:val="Firstpagetablebold"/>
                <w:rFonts w:cs="Arial"/>
                <w:color w:val="auto"/>
              </w:rPr>
            </w:pPr>
            <w:r w:rsidRPr="00183926">
              <w:rPr>
                <w:rStyle w:val="Firstpagetablebold"/>
                <w:rFonts w:cs="Arial"/>
                <w:color w:val="auto"/>
              </w:rPr>
              <w:t>Dat</w:t>
            </w:r>
            <w:r w:rsidR="005C35A5" w:rsidRPr="00183926">
              <w:rPr>
                <w:rStyle w:val="Firstpagetablebold"/>
                <w:rFonts w:cs="Arial"/>
                <w:color w:val="auto"/>
              </w:rPr>
              <w:t>e:</w:t>
            </w:r>
          </w:p>
        </w:tc>
        <w:tc>
          <w:tcPr>
            <w:tcW w:w="6406" w:type="dxa"/>
            <w:shd w:val="clear" w:color="auto" w:fill="auto"/>
          </w:tcPr>
          <w:p w:rsidR="00F445B1" w:rsidRPr="00183926" w:rsidRDefault="009121E7" w:rsidP="007B2EDB">
            <w:pPr>
              <w:jc w:val="both"/>
              <w:rPr>
                <w:rFonts w:cs="Arial"/>
                <w:b/>
                <w:color w:val="auto"/>
              </w:rPr>
            </w:pPr>
            <w:r w:rsidRPr="00183926">
              <w:rPr>
                <w:rFonts w:cs="Arial"/>
                <w:b/>
                <w:color w:val="auto"/>
              </w:rPr>
              <w:t>2</w:t>
            </w:r>
            <w:r w:rsidR="00F12990">
              <w:rPr>
                <w:rFonts w:cs="Arial"/>
                <w:b/>
                <w:color w:val="auto"/>
              </w:rPr>
              <w:t xml:space="preserve">9 </w:t>
            </w:r>
            <w:r w:rsidRPr="00183926">
              <w:rPr>
                <w:rFonts w:cs="Arial"/>
                <w:b/>
                <w:color w:val="auto"/>
              </w:rPr>
              <w:t>May 2019</w:t>
            </w:r>
          </w:p>
        </w:tc>
      </w:tr>
      <w:tr w:rsidR="00183926" w:rsidRPr="00183926" w:rsidTr="005F7F7E">
        <w:tc>
          <w:tcPr>
            <w:tcW w:w="2438" w:type="dxa"/>
            <w:shd w:val="clear" w:color="auto" w:fill="auto"/>
          </w:tcPr>
          <w:p w:rsidR="00F445B1" w:rsidRPr="00183926" w:rsidRDefault="00F445B1" w:rsidP="007B2EDB">
            <w:pPr>
              <w:jc w:val="both"/>
              <w:rPr>
                <w:rStyle w:val="Firstpagetablebold"/>
                <w:rFonts w:cs="Arial"/>
                <w:color w:val="auto"/>
              </w:rPr>
            </w:pPr>
            <w:r w:rsidRPr="00183926">
              <w:rPr>
                <w:rStyle w:val="Firstpagetablebold"/>
                <w:rFonts w:cs="Arial"/>
                <w:color w:val="auto"/>
              </w:rPr>
              <w:t>Report of</w:t>
            </w:r>
            <w:r w:rsidR="005C35A5" w:rsidRPr="00183926">
              <w:rPr>
                <w:rStyle w:val="Firstpagetablebold"/>
                <w:rFonts w:cs="Arial"/>
                <w:color w:val="auto"/>
              </w:rPr>
              <w:t>:</w:t>
            </w:r>
          </w:p>
        </w:tc>
        <w:tc>
          <w:tcPr>
            <w:tcW w:w="6406" w:type="dxa"/>
            <w:shd w:val="clear" w:color="auto" w:fill="auto"/>
          </w:tcPr>
          <w:p w:rsidR="00F445B1" w:rsidRPr="00183926" w:rsidRDefault="00F445B1" w:rsidP="007B2EDB">
            <w:pPr>
              <w:jc w:val="both"/>
              <w:rPr>
                <w:rStyle w:val="Firstpagetablebold"/>
                <w:rFonts w:cs="Arial"/>
                <w:color w:val="auto"/>
              </w:rPr>
            </w:pPr>
            <w:r w:rsidRPr="00183926">
              <w:rPr>
                <w:rStyle w:val="Firstpagetablebold"/>
                <w:rFonts w:cs="Arial"/>
                <w:color w:val="auto"/>
              </w:rPr>
              <w:t xml:space="preserve">Head of </w:t>
            </w:r>
            <w:r w:rsidR="00C164B1" w:rsidRPr="00183926">
              <w:rPr>
                <w:rStyle w:val="Firstpagetablebold"/>
                <w:rFonts w:cs="Arial"/>
                <w:color w:val="auto"/>
              </w:rPr>
              <w:t xml:space="preserve">Community </w:t>
            </w:r>
            <w:r w:rsidRPr="00183926">
              <w:rPr>
                <w:rStyle w:val="Firstpagetablebold"/>
                <w:rFonts w:cs="Arial"/>
                <w:color w:val="auto"/>
              </w:rPr>
              <w:t>Service</w:t>
            </w:r>
            <w:r w:rsidR="00C164B1" w:rsidRPr="00183926">
              <w:rPr>
                <w:rStyle w:val="Firstpagetablebold"/>
                <w:rFonts w:cs="Arial"/>
                <w:color w:val="auto"/>
              </w:rPr>
              <w:t>s</w:t>
            </w:r>
          </w:p>
        </w:tc>
      </w:tr>
      <w:tr w:rsidR="00CE544A" w:rsidRPr="00183926" w:rsidTr="005F7F7E">
        <w:tc>
          <w:tcPr>
            <w:tcW w:w="2438" w:type="dxa"/>
            <w:shd w:val="clear" w:color="auto" w:fill="auto"/>
          </w:tcPr>
          <w:p w:rsidR="00F445B1" w:rsidRPr="00183926" w:rsidRDefault="00F445B1" w:rsidP="007B2EDB">
            <w:pPr>
              <w:jc w:val="both"/>
              <w:rPr>
                <w:rStyle w:val="Firstpagetablebold"/>
                <w:rFonts w:cs="Arial"/>
                <w:color w:val="auto"/>
              </w:rPr>
            </w:pPr>
            <w:r w:rsidRPr="00183926">
              <w:rPr>
                <w:rStyle w:val="Firstpagetablebold"/>
                <w:rFonts w:cs="Arial"/>
                <w:color w:val="auto"/>
              </w:rPr>
              <w:t xml:space="preserve">Title of Report: </w:t>
            </w:r>
          </w:p>
        </w:tc>
        <w:tc>
          <w:tcPr>
            <w:tcW w:w="6406" w:type="dxa"/>
            <w:shd w:val="clear" w:color="auto" w:fill="auto"/>
          </w:tcPr>
          <w:p w:rsidR="00F445B1" w:rsidRPr="00183926" w:rsidRDefault="009121E7" w:rsidP="007B2EDB">
            <w:pPr>
              <w:jc w:val="both"/>
              <w:rPr>
                <w:rStyle w:val="Firstpagetablebold"/>
                <w:rFonts w:cs="Arial"/>
                <w:color w:val="auto"/>
              </w:rPr>
            </w:pPr>
            <w:r w:rsidRPr="00183926">
              <w:rPr>
                <w:rStyle w:val="Firstpagetablebold"/>
                <w:rFonts w:cs="Arial"/>
                <w:color w:val="auto"/>
              </w:rPr>
              <w:t>OVO Energy Women</w:t>
            </w:r>
            <w:r w:rsidR="00DE5531" w:rsidRPr="00183926">
              <w:rPr>
                <w:rStyle w:val="Firstpagetablebold"/>
                <w:rFonts w:cs="Arial"/>
                <w:color w:val="auto"/>
              </w:rPr>
              <w:t>’</w:t>
            </w:r>
            <w:r w:rsidRPr="00183926">
              <w:rPr>
                <w:rStyle w:val="Firstpagetablebold"/>
                <w:rFonts w:cs="Arial"/>
                <w:color w:val="auto"/>
              </w:rPr>
              <w:t>s Cycle Tour</w:t>
            </w:r>
          </w:p>
        </w:tc>
      </w:tr>
    </w:tbl>
    <w:p w:rsidR="004F20EF" w:rsidRPr="00183926" w:rsidRDefault="004F20EF" w:rsidP="007B2EDB">
      <w:pPr>
        <w:jc w:val="both"/>
        <w:rPr>
          <w:rFonts w:cs="Arial"/>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
        <w:gridCol w:w="2120"/>
        <w:gridCol w:w="6407"/>
      </w:tblGrid>
      <w:tr w:rsidR="00183926" w:rsidRPr="00183926" w:rsidTr="00816E4A">
        <w:tc>
          <w:tcPr>
            <w:tcW w:w="8944" w:type="dxa"/>
            <w:gridSpan w:val="3"/>
            <w:tcBorders>
              <w:bottom w:val="single" w:sz="8" w:space="0" w:color="000000"/>
            </w:tcBorders>
            <w:hideMark/>
          </w:tcPr>
          <w:p w:rsidR="00D5547E" w:rsidRPr="00183926" w:rsidRDefault="00745BF0" w:rsidP="007B2EDB">
            <w:pPr>
              <w:jc w:val="both"/>
              <w:rPr>
                <w:rStyle w:val="Firstpagetablebold"/>
                <w:rFonts w:cs="Arial"/>
                <w:color w:val="auto"/>
              </w:rPr>
            </w:pPr>
            <w:r w:rsidRPr="00183926">
              <w:rPr>
                <w:rStyle w:val="Firstpagetablebold"/>
                <w:rFonts w:cs="Arial"/>
                <w:color w:val="auto"/>
              </w:rPr>
              <w:t>Summary and r</w:t>
            </w:r>
            <w:r w:rsidR="00D5547E" w:rsidRPr="00183926">
              <w:rPr>
                <w:rStyle w:val="Firstpagetablebold"/>
                <w:rFonts w:cs="Arial"/>
                <w:color w:val="auto"/>
              </w:rPr>
              <w:t>ecommendations</w:t>
            </w:r>
          </w:p>
        </w:tc>
      </w:tr>
      <w:tr w:rsidR="00183926" w:rsidRPr="00183926" w:rsidTr="00816E4A">
        <w:tc>
          <w:tcPr>
            <w:tcW w:w="2537" w:type="dxa"/>
            <w:gridSpan w:val="2"/>
            <w:tcBorders>
              <w:top w:val="single" w:sz="8" w:space="0" w:color="000000"/>
              <w:left w:val="single" w:sz="8" w:space="0" w:color="000000"/>
              <w:bottom w:val="nil"/>
              <w:right w:val="nil"/>
            </w:tcBorders>
            <w:hideMark/>
          </w:tcPr>
          <w:p w:rsidR="00D5547E" w:rsidRPr="00183926" w:rsidRDefault="00D5547E" w:rsidP="007B2EDB">
            <w:pPr>
              <w:jc w:val="both"/>
              <w:rPr>
                <w:rStyle w:val="Firstpagetablebold"/>
                <w:rFonts w:cs="Arial"/>
                <w:color w:val="auto"/>
              </w:rPr>
            </w:pPr>
            <w:r w:rsidRPr="00183926">
              <w:rPr>
                <w:rStyle w:val="Firstpagetablebold"/>
                <w:rFonts w:cs="Arial"/>
                <w:color w:val="auto"/>
              </w:rPr>
              <w:t>Purpose of report:</w:t>
            </w:r>
          </w:p>
        </w:tc>
        <w:tc>
          <w:tcPr>
            <w:tcW w:w="6407" w:type="dxa"/>
            <w:tcBorders>
              <w:top w:val="single" w:sz="8" w:space="0" w:color="000000"/>
              <w:left w:val="nil"/>
              <w:bottom w:val="nil"/>
              <w:right w:val="single" w:sz="8" w:space="0" w:color="000000"/>
            </w:tcBorders>
            <w:hideMark/>
          </w:tcPr>
          <w:p w:rsidR="00D5547E" w:rsidRPr="00183926" w:rsidRDefault="00496F8A" w:rsidP="00816E4A">
            <w:pPr>
              <w:jc w:val="both"/>
              <w:rPr>
                <w:rFonts w:cs="Arial"/>
                <w:color w:val="auto"/>
              </w:rPr>
            </w:pPr>
            <w:r w:rsidRPr="00183926">
              <w:rPr>
                <w:rFonts w:cs="Arial"/>
                <w:color w:val="auto"/>
              </w:rPr>
              <w:t>To highlight the requirements of delivering the OVO Energy Women’s Cycle Tour in Oxfordshire over the next three years (2019, 2020 and 2021).</w:t>
            </w:r>
          </w:p>
        </w:tc>
      </w:tr>
      <w:tr w:rsidR="00183926" w:rsidRPr="00183926" w:rsidTr="00816E4A">
        <w:tc>
          <w:tcPr>
            <w:tcW w:w="2537" w:type="dxa"/>
            <w:gridSpan w:val="2"/>
            <w:tcBorders>
              <w:top w:val="nil"/>
              <w:left w:val="single" w:sz="8" w:space="0" w:color="000000"/>
              <w:bottom w:val="nil"/>
              <w:right w:val="nil"/>
            </w:tcBorders>
            <w:hideMark/>
          </w:tcPr>
          <w:p w:rsidR="00D5547E" w:rsidRPr="00183926" w:rsidRDefault="00D5547E" w:rsidP="007B2EDB">
            <w:pPr>
              <w:jc w:val="both"/>
              <w:rPr>
                <w:rStyle w:val="Firstpagetablebold"/>
                <w:rFonts w:cs="Arial"/>
                <w:color w:val="auto"/>
              </w:rPr>
            </w:pPr>
            <w:r w:rsidRPr="00183926">
              <w:rPr>
                <w:rStyle w:val="Firstpagetablebold"/>
                <w:rFonts w:cs="Arial"/>
                <w:color w:val="auto"/>
              </w:rPr>
              <w:t>Key decision:</w:t>
            </w:r>
          </w:p>
        </w:tc>
        <w:tc>
          <w:tcPr>
            <w:tcW w:w="6407" w:type="dxa"/>
            <w:tcBorders>
              <w:top w:val="nil"/>
              <w:left w:val="nil"/>
              <w:bottom w:val="nil"/>
              <w:right w:val="single" w:sz="8" w:space="0" w:color="000000"/>
            </w:tcBorders>
            <w:hideMark/>
          </w:tcPr>
          <w:p w:rsidR="00D5547E" w:rsidRPr="00183926" w:rsidRDefault="00D5547E" w:rsidP="007B2EDB">
            <w:pPr>
              <w:jc w:val="both"/>
              <w:rPr>
                <w:rFonts w:cs="Arial"/>
                <w:color w:val="auto"/>
              </w:rPr>
            </w:pPr>
            <w:r w:rsidRPr="00183926">
              <w:rPr>
                <w:rFonts w:cs="Arial"/>
                <w:color w:val="auto"/>
              </w:rPr>
              <w:t xml:space="preserve">Yes </w:t>
            </w:r>
          </w:p>
        </w:tc>
      </w:tr>
      <w:tr w:rsidR="00183926" w:rsidRPr="00183926" w:rsidTr="00816E4A">
        <w:tc>
          <w:tcPr>
            <w:tcW w:w="2537" w:type="dxa"/>
            <w:gridSpan w:val="2"/>
            <w:tcBorders>
              <w:top w:val="nil"/>
              <w:left w:val="single" w:sz="8" w:space="0" w:color="000000"/>
              <w:bottom w:val="nil"/>
              <w:right w:val="nil"/>
            </w:tcBorders>
            <w:hideMark/>
          </w:tcPr>
          <w:p w:rsidR="00D5547E" w:rsidRPr="00183926" w:rsidRDefault="008D1577" w:rsidP="007B2EDB">
            <w:pPr>
              <w:jc w:val="both"/>
              <w:rPr>
                <w:rStyle w:val="Firstpagetablebold"/>
                <w:rFonts w:cs="Arial"/>
                <w:color w:val="auto"/>
              </w:rPr>
            </w:pPr>
            <w:r>
              <w:rPr>
                <w:rStyle w:val="Firstpagetablebold"/>
                <w:rFonts w:cs="Arial"/>
                <w:color w:val="auto"/>
              </w:rPr>
              <w:t xml:space="preserve">Cabinet </w:t>
            </w:r>
            <w:r w:rsidR="00D5547E" w:rsidRPr="00183926">
              <w:rPr>
                <w:rStyle w:val="Firstpagetablebold"/>
                <w:rFonts w:cs="Arial"/>
                <w:color w:val="auto"/>
              </w:rPr>
              <w:t>Member:</w:t>
            </w:r>
          </w:p>
        </w:tc>
        <w:tc>
          <w:tcPr>
            <w:tcW w:w="6407" w:type="dxa"/>
            <w:tcBorders>
              <w:top w:val="nil"/>
              <w:left w:val="nil"/>
              <w:bottom w:val="nil"/>
              <w:right w:val="single" w:sz="8" w:space="0" w:color="000000"/>
            </w:tcBorders>
            <w:hideMark/>
          </w:tcPr>
          <w:p w:rsidR="00D5547E" w:rsidRPr="00183926" w:rsidRDefault="000D2E3B" w:rsidP="007B2EDB">
            <w:pPr>
              <w:jc w:val="both"/>
              <w:rPr>
                <w:rFonts w:cs="Arial"/>
                <w:color w:val="auto"/>
              </w:rPr>
            </w:pPr>
            <w:r w:rsidRPr="00183926">
              <w:rPr>
                <w:rFonts w:cs="Arial"/>
                <w:color w:val="auto"/>
              </w:rPr>
              <w:t xml:space="preserve">Healthy Oxford and the </w:t>
            </w:r>
            <w:r w:rsidR="00FD60B7" w:rsidRPr="00183926">
              <w:rPr>
                <w:rFonts w:cs="Arial"/>
                <w:color w:val="auto"/>
              </w:rPr>
              <w:t>C</w:t>
            </w:r>
            <w:r w:rsidRPr="00183926">
              <w:rPr>
                <w:rFonts w:cs="Arial"/>
                <w:color w:val="auto"/>
              </w:rPr>
              <w:t xml:space="preserve">ity’s </w:t>
            </w:r>
            <w:r w:rsidR="00FD60B7" w:rsidRPr="00183926">
              <w:rPr>
                <w:rFonts w:cs="Arial"/>
                <w:color w:val="auto"/>
              </w:rPr>
              <w:t>Cycling C</w:t>
            </w:r>
            <w:r w:rsidRPr="00183926">
              <w:rPr>
                <w:rFonts w:cs="Arial"/>
                <w:color w:val="auto"/>
              </w:rPr>
              <w:t xml:space="preserve">hampion </w:t>
            </w:r>
          </w:p>
        </w:tc>
      </w:tr>
      <w:tr w:rsidR="00183926" w:rsidRPr="00183926" w:rsidTr="00816E4A">
        <w:tc>
          <w:tcPr>
            <w:tcW w:w="2537" w:type="dxa"/>
            <w:gridSpan w:val="2"/>
            <w:tcBorders>
              <w:top w:val="nil"/>
              <w:left w:val="single" w:sz="8" w:space="0" w:color="000000"/>
              <w:bottom w:val="nil"/>
              <w:right w:val="nil"/>
            </w:tcBorders>
          </w:tcPr>
          <w:p w:rsidR="0080749A" w:rsidRPr="00183926" w:rsidRDefault="0080749A" w:rsidP="007B2EDB">
            <w:pPr>
              <w:jc w:val="both"/>
              <w:rPr>
                <w:rStyle w:val="Firstpagetablebold"/>
                <w:rFonts w:cs="Arial"/>
                <w:color w:val="auto"/>
              </w:rPr>
            </w:pPr>
            <w:r w:rsidRPr="00183926">
              <w:rPr>
                <w:rStyle w:val="Firstpagetablebold"/>
                <w:rFonts w:cs="Arial"/>
                <w:color w:val="auto"/>
              </w:rPr>
              <w:t>Corporate Priority:</w:t>
            </w:r>
          </w:p>
        </w:tc>
        <w:tc>
          <w:tcPr>
            <w:tcW w:w="6407" w:type="dxa"/>
            <w:tcBorders>
              <w:top w:val="nil"/>
              <w:left w:val="nil"/>
              <w:bottom w:val="nil"/>
              <w:right w:val="single" w:sz="8" w:space="0" w:color="000000"/>
            </w:tcBorders>
          </w:tcPr>
          <w:p w:rsidR="0080749A" w:rsidRPr="00183926" w:rsidRDefault="00496F8A" w:rsidP="007B2EDB">
            <w:pPr>
              <w:jc w:val="both"/>
              <w:rPr>
                <w:rFonts w:cs="Arial"/>
                <w:color w:val="auto"/>
              </w:rPr>
            </w:pPr>
            <w:r w:rsidRPr="00183926">
              <w:rPr>
                <w:rFonts w:cs="Arial"/>
                <w:color w:val="auto"/>
              </w:rPr>
              <w:t xml:space="preserve">A Vibrant and Sustainable Economy, Strong and Active Communities </w:t>
            </w:r>
          </w:p>
        </w:tc>
      </w:tr>
      <w:tr w:rsidR="00183926" w:rsidRPr="00183926" w:rsidTr="00816E4A">
        <w:tc>
          <w:tcPr>
            <w:tcW w:w="2537" w:type="dxa"/>
            <w:gridSpan w:val="2"/>
            <w:tcBorders>
              <w:top w:val="nil"/>
              <w:left w:val="single" w:sz="8" w:space="0" w:color="000000"/>
              <w:bottom w:val="nil"/>
              <w:right w:val="nil"/>
            </w:tcBorders>
            <w:hideMark/>
          </w:tcPr>
          <w:p w:rsidR="00D5547E" w:rsidRPr="00183926" w:rsidRDefault="00D5547E" w:rsidP="007B2EDB">
            <w:pPr>
              <w:jc w:val="both"/>
              <w:rPr>
                <w:rStyle w:val="Firstpagetablebold"/>
                <w:rFonts w:cs="Arial"/>
                <w:color w:val="auto"/>
              </w:rPr>
            </w:pPr>
            <w:r w:rsidRPr="00183926">
              <w:rPr>
                <w:rStyle w:val="Firstpagetablebold"/>
                <w:rFonts w:cs="Arial"/>
                <w:color w:val="auto"/>
              </w:rPr>
              <w:t>Policy Framework:</w:t>
            </w:r>
          </w:p>
        </w:tc>
        <w:tc>
          <w:tcPr>
            <w:tcW w:w="6407" w:type="dxa"/>
            <w:tcBorders>
              <w:top w:val="nil"/>
              <w:left w:val="nil"/>
              <w:bottom w:val="nil"/>
              <w:right w:val="single" w:sz="8" w:space="0" w:color="000000"/>
            </w:tcBorders>
            <w:hideMark/>
          </w:tcPr>
          <w:p w:rsidR="00D5547E" w:rsidRPr="00183926" w:rsidRDefault="001247C2" w:rsidP="007B2EDB">
            <w:pPr>
              <w:jc w:val="both"/>
              <w:rPr>
                <w:rFonts w:cs="Arial"/>
                <w:color w:val="auto"/>
              </w:rPr>
            </w:pPr>
            <w:r>
              <w:rPr>
                <w:rFonts w:cs="Arial"/>
                <w:color w:val="auto"/>
              </w:rPr>
              <w:t xml:space="preserve">The </w:t>
            </w:r>
            <w:r w:rsidR="00496F8A" w:rsidRPr="00183926">
              <w:rPr>
                <w:rFonts w:cs="Arial"/>
                <w:color w:val="auto"/>
              </w:rPr>
              <w:t>Corporate</w:t>
            </w:r>
            <w:r w:rsidR="00FD60B7" w:rsidRPr="00183926">
              <w:rPr>
                <w:rFonts w:cs="Arial"/>
                <w:color w:val="auto"/>
              </w:rPr>
              <w:t xml:space="preserve"> Plan &amp; The </w:t>
            </w:r>
            <w:r w:rsidR="00496F8A" w:rsidRPr="00183926">
              <w:rPr>
                <w:rFonts w:cs="Arial"/>
                <w:color w:val="auto"/>
              </w:rPr>
              <w:t xml:space="preserve">Leisure &amp; Wellbeing Strategy </w:t>
            </w:r>
          </w:p>
        </w:tc>
      </w:tr>
      <w:tr w:rsidR="00183926" w:rsidRPr="00183926" w:rsidTr="00816E4A">
        <w:trPr>
          <w:trHeight w:val="413"/>
        </w:trPr>
        <w:tc>
          <w:tcPr>
            <w:tcW w:w="8944" w:type="dxa"/>
            <w:gridSpan w:val="3"/>
            <w:tcBorders>
              <w:bottom w:val="single" w:sz="8" w:space="0" w:color="000000"/>
            </w:tcBorders>
          </w:tcPr>
          <w:p w:rsidR="005F7F7E" w:rsidRPr="00183926" w:rsidRDefault="00816E4A" w:rsidP="008D1577">
            <w:pPr>
              <w:jc w:val="both"/>
              <w:rPr>
                <w:rFonts w:cs="Arial"/>
                <w:color w:val="auto"/>
              </w:rPr>
            </w:pPr>
            <w:r>
              <w:rPr>
                <w:rStyle w:val="Firstpagetablebold"/>
                <w:rFonts w:cs="Arial"/>
                <w:color w:val="auto"/>
              </w:rPr>
              <w:t>Recommendations</w:t>
            </w:r>
            <w:r w:rsidR="005F7F7E" w:rsidRPr="00183926">
              <w:rPr>
                <w:rStyle w:val="Firstpagetablebold"/>
                <w:rFonts w:cs="Arial"/>
                <w:color w:val="auto"/>
              </w:rPr>
              <w:t>:</w:t>
            </w:r>
            <w:r w:rsidR="004A2007">
              <w:rPr>
                <w:rStyle w:val="Firstpagetablebold"/>
                <w:rFonts w:cs="Arial"/>
                <w:color w:val="auto"/>
              </w:rPr>
              <w:t xml:space="preserve"> </w:t>
            </w:r>
            <w:r w:rsidR="005F7F7E" w:rsidRPr="00816E4A">
              <w:rPr>
                <w:rStyle w:val="Firstpagetablebold"/>
                <w:rFonts w:cs="Arial"/>
                <w:b w:val="0"/>
                <w:color w:val="auto"/>
              </w:rPr>
              <w:t xml:space="preserve">That </w:t>
            </w:r>
            <w:r w:rsidR="008D1577">
              <w:rPr>
                <w:rStyle w:val="Firstpagetablebold"/>
                <w:rFonts w:cs="Arial"/>
                <w:b w:val="0"/>
                <w:color w:val="auto"/>
              </w:rPr>
              <w:t xml:space="preserve">Cabinet </w:t>
            </w:r>
            <w:r w:rsidR="005F7F7E" w:rsidRPr="00816E4A">
              <w:rPr>
                <w:rStyle w:val="Firstpagetablebold"/>
                <w:rFonts w:cs="Arial"/>
                <w:b w:val="0"/>
                <w:color w:val="auto"/>
              </w:rPr>
              <w:t>resolves to:</w:t>
            </w:r>
          </w:p>
        </w:tc>
      </w:tr>
      <w:tr w:rsidR="00183926" w:rsidRPr="00183926" w:rsidTr="00816E4A">
        <w:trPr>
          <w:trHeight w:val="283"/>
        </w:trPr>
        <w:tc>
          <w:tcPr>
            <w:tcW w:w="417" w:type="dxa"/>
            <w:tcBorders>
              <w:top w:val="single" w:sz="8" w:space="0" w:color="000000"/>
              <w:left w:val="single" w:sz="8" w:space="0" w:color="000000"/>
              <w:bottom w:val="nil"/>
              <w:right w:val="nil"/>
            </w:tcBorders>
          </w:tcPr>
          <w:p w:rsidR="009121E7" w:rsidRPr="00183926" w:rsidRDefault="009121E7" w:rsidP="007B2EDB">
            <w:pPr>
              <w:jc w:val="both"/>
              <w:rPr>
                <w:rFonts w:cs="Arial"/>
                <w:color w:val="auto"/>
              </w:rPr>
            </w:pPr>
            <w:bookmarkStart w:id="0" w:name="_GoBack" w:colFirst="1" w:colLast="1"/>
            <w:r w:rsidRPr="00183926">
              <w:rPr>
                <w:rFonts w:cs="Arial"/>
                <w:color w:val="auto"/>
              </w:rPr>
              <w:t>1.</w:t>
            </w:r>
          </w:p>
        </w:tc>
        <w:tc>
          <w:tcPr>
            <w:tcW w:w="8527" w:type="dxa"/>
            <w:gridSpan w:val="2"/>
            <w:tcBorders>
              <w:top w:val="single" w:sz="8" w:space="0" w:color="000000"/>
              <w:left w:val="nil"/>
              <w:bottom w:val="nil"/>
              <w:right w:val="single" w:sz="8" w:space="0" w:color="000000"/>
            </w:tcBorders>
            <w:shd w:val="clear" w:color="auto" w:fill="auto"/>
          </w:tcPr>
          <w:p w:rsidR="009121E7" w:rsidRPr="00183926" w:rsidRDefault="00816E4A" w:rsidP="007B2EDB">
            <w:pPr>
              <w:pStyle w:val="ListParagraph"/>
              <w:numPr>
                <w:ilvl w:val="0"/>
                <w:numId w:val="0"/>
              </w:numPr>
              <w:autoSpaceDE w:val="0"/>
              <w:autoSpaceDN w:val="0"/>
              <w:adjustRightInd w:val="0"/>
              <w:spacing w:after="0"/>
              <w:ind w:left="720"/>
              <w:contextualSpacing/>
              <w:jc w:val="both"/>
              <w:rPr>
                <w:rFonts w:cs="Arial"/>
                <w:color w:val="auto"/>
              </w:rPr>
            </w:pPr>
            <w:r w:rsidRPr="00816E4A">
              <w:rPr>
                <w:rFonts w:cs="Arial"/>
                <w:b/>
                <w:color w:val="auto"/>
                <w:sz w:val="22"/>
                <w:szCs w:val="22"/>
              </w:rPr>
              <w:t>S</w:t>
            </w:r>
            <w:r w:rsidR="009121E7" w:rsidRPr="00816E4A">
              <w:rPr>
                <w:rFonts w:cs="Arial"/>
                <w:b/>
                <w:color w:val="auto"/>
                <w:sz w:val="22"/>
                <w:szCs w:val="22"/>
              </w:rPr>
              <w:t xml:space="preserve">upport </w:t>
            </w:r>
            <w:r w:rsidR="009121E7" w:rsidRPr="00183926">
              <w:rPr>
                <w:rFonts w:cs="Arial"/>
                <w:color w:val="auto"/>
                <w:sz w:val="22"/>
                <w:szCs w:val="22"/>
              </w:rPr>
              <w:t>Oxfordshire being a host venue for the OVO Energy Women’s cycle tour in 2019, 2020 and 2021</w:t>
            </w:r>
            <w:r>
              <w:rPr>
                <w:rFonts w:cs="Arial"/>
                <w:color w:val="auto"/>
                <w:sz w:val="22"/>
                <w:szCs w:val="22"/>
              </w:rPr>
              <w:t>;</w:t>
            </w:r>
          </w:p>
        </w:tc>
      </w:tr>
      <w:tr w:rsidR="00183926" w:rsidRPr="00183926" w:rsidTr="00816E4A">
        <w:trPr>
          <w:trHeight w:val="283"/>
        </w:trPr>
        <w:tc>
          <w:tcPr>
            <w:tcW w:w="417" w:type="dxa"/>
            <w:tcBorders>
              <w:top w:val="nil"/>
              <w:left w:val="single" w:sz="8" w:space="0" w:color="000000"/>
              <w:bottom w:val="nil"/>
              <w:right w:val="nil"/>
            </w:tcBorders>
          </w:tcPr>
          <w:p w:rsidR="009121E7" w:rsidRPr="00183926" w:rsidRDefault="009121E7" w:rsidP="007B2EDB">
            <w:pPr>
              <w:jc w:val="both"/>
              <w:rPr>
                <w:rFonts w:cs="Arial"/>
                <w:color w:val="auto"/>
              </w:rPr>
            </w:pPr>
            <w:r w:rsidRPr="00183926">
              <w:rPr>
                <w:rFonts w:cs="Arial"/>
                <w:color w:val="auto"/>
              </w:rPr>
              <w:t>2.</w:t>
            </w:r>
          </w:p>
        </w:tc>
        <w:tc>
          <w:tcPr>
            <w:tcW w:w="8527" w:type="dxa"/>
            <w:gridSpan w:val="2"/>
            <w:tcBorders>
              <w:top w:val="nil"/>
              <w:left w:val="nil"/>
              <w:bottom w:val="nil"/>
              <w:right w:val="single" w:sz="8" w:space="0" w:color="000000"/>
            </w:tcBorders>
            <w:shd w:val="clear" w:color="auto" w:fill="auto"/>
          </w:tcPr>
          <w:p w:rsidR="00760071" w:rsidRDefault="00816E4A" w:rsidP="007B2EDB">
            <w:pPr>
              <w:autoSpaceDE w:val="0"/>
              <w:autoSpaceDN w:val="0"/>
              <w:adjustRightInd w:val="0"/>
              <w:spacing w:after="0"/>
              <w:ind w:left="426" w:hanging="426"/>
              <w:contextualSpacing/>
              <w:jc w:val="both"/>
              <w:rPr>
                <w:rFonts w:cs="Arial"/>
                <w:color w:val="auto"/>
                <w:szCs w:val="22"/>
              </w:rPr>
            </w:pPr>
            <w:r>
              <w:rPr>
                <w:rFonts w:cs="Arial"/>
                <w:color w:val="auto"/>
                <w:szCs w:val="22"/>
              </w:rPr>
              <w:t xml:space="preserve">          </w:t>
            </w:r>
            <w:r w:rsidRPr="00816E4A">
              <w:rPr>
                <w:rFonts w:cs="Arial"/>
                <w:b/>
                <w:color w:val="auto"/>
                <w:szCs w:val="22"/>
              </w:rPr>
              <w:t>A</w:t>
            </w:r>
            <w:r w:rsidR="00496F8A" w:rsidRPr="00816E4A">
              <w:rPr>
                <w:rFonts w:cs="Arial"/>
                <w:b/>
                <w:color w:val="auto"/>
                <w:szCs w:val="22"/>
              </w:rPr>
              <w:t>gree</w:t>
            </w:r>
            <w:r w:rsidR="00496F8A" w:rsidRPr="00183926">
              <w:rPr>
                <w:rFonts w:cs="Arial"/>
                <w:color w:val="auto"/>
                <w:szCs w:val="22"/>
              </w:rPr>
              <w:t xml:space="preserve"> the principle of an eq</w:t>
            </w:r>
            <w:r w:rsidR="00760071">
              <w:rPr>
                <w:rFonts w:cs="Arial"/>
                <w:color w:val="auto"/>
                <w:szCs w:val="22"/>
              </w:rPr>
              <w:t>ual share of costs between the C</w:t>
            </w:r>
            <w:r w:rsidR="00496F8A" w:rsidRPr="00183926">
              <w:rPr>
                <w:rFonts w:cs="Arial"/>
                <w:color w:val="auto"/>
                <w:szCs w:val="22"/>
              </w:rPr>
              <w:t>ounty</w:t>
            </w:r>
            <w:r w:rsidR="00760071">
              <w:rPr>
                <w:rFonts w:cs="Arial"/>
                <w:color w:val="auto"/>
                <w:szCs w:val="22"/>
              </w:rPr>
              <w:t xml:space="preserve">   </w:t>
            </w:r>
          </w:p>
          <w:p w:rsidR="00760071" w:rsidRDefault="00760071" w:rsidP="00760071">
            <w:pPr>
              <w:autoSpaceDE w:val="0"/>
              <w:autoSpaceDN w:val="0"/>
              <w:adjustRightInd w:val="0"/>
              <w:spacing w:after="0"/>
              <w:ind w:left="426" w:hanging="426"/>
              <w:contextualSpacing/>
              <w:jc w:val="both"/>
              <w:rPr>
                <w:rFonts w:cs="Arial"/>
                <w:color w:val="auto"/>
                <w:szCs w:val="22"/>
              </w:rPr>
            </w:pPr>
            <w:r>
              <w:rPr>
                <w:rFonts w:cs="Arial"/>
                <w:color w:val="auto"/>
                <w:szCs w:val="22"/>
              </w:rPr>
              <w:t xml:space="preserve">          Council</w:t>
            </w:r>
            <w:r w:rsidR="00496F8A" w:rsidRPr="00183926">
              <w:rPr>
                <w:rFonts w:cs="Arial"/>
                <w:color w:val="auto"/>
                <w:szCs w:val="22"/>
              </w:rPr>
              <w:t>,</w:t>
            </w:r>
            <w:r>
              <w:rPr>
                <w:rFonts w:cs="Arial"/>
                <w:color w:val="auto"/>
                <w:szCs w:val="22"/>
              </w:rPr>
              <w:t xml:space="preserve"> the four districts and the City C</w:t>
            </w:r>
            <w:r w:rsidR="00496F8A" w:rsidRPr="00183926">
              <w:rPr>
                <w:rFonts w:cs="Arial"/>
                <w:color w:val="auto"/>
                <w:szCs w:val="22"/>
              </w:rPr>
              <w:t>ouncil</w:t>
            </w:r>
            <w:r>
              <w:rPr>
                <w:rFonts w:cs="Arial"/>
                <w:color w:val="auto"/>
                <w:szCs w:val="22"/>
              </w:rPr>
              <w:t xml:space="preserve"> for the three years of the  </w:t>
            </w:r>
          </w:p>
          <w:p w:rsidR="00496F8A" w:rsidRPr="00183926" w:rsidRDefault="00760071" w:rsidP="00760071">
            <w:pPr>
              <w:autoSpaceDE w:val="0"/>
              <w:autoSpaceDN w:val="0"/>
              <w:adjustRightInd w:val="0"/>
              <w:spacing w:after="0"/>
              <w:ind w:left="426" w:hanging="426"/>
              <w:contextualSpacing/>
              <w:jc w:val="both"/>
              <w:rPr>
                <w:rFonts w:cs="Arial"/>
                <w:color w:val="auto"/>
              </w:rPr>
            </w:pPr>
            <w:r>
              <w:rPr>
                <w:rFonts w:cs="Arial"/>
                <w:color w:val="auto"/>
                <w:szCs w:val="22"/>
              </w:rPr>
              <w:t xml:space="preserve">          </w:t>
            </w:r>
            <w:r w:rsidR="00816E4A">
              <w:rPr>
                <w:rFonts w:cs="Arial"/>
                <w:color w:val="auto"/>
                <w:szCs w:val="22"/>
              </w:rPr>
              <w:t>E</w:t>
            </w:r>
            <w:r>
              <w:rPr>
                <w:rFonts w:cs="Arial"/>
                <w:color w:val="auto"/>
                <w:szCs w:val="22"/>
              </w:rPr>
              <w:t>vent</w:t>
            </w:r>
            <w:r w:rsidR="00816E4A">
              <w:rPr>
                <w:rFonts w:cs="Arial"/>
                <w:color w:val="auto"/>
                <w:szCs w:val="22"/>
              </w:rPr>
              <w:t>;</w:t>
            </w:r>
          </w:p>
        </w:tc>
      </w:tr>
      <w:tr w:rsidR="00183926" w:rsidRPr="00183926" w:rsidTr="00816E4A">
        <w:trPr>
          <w:trHeight w:val="283"/>
        </w:trPr>
        <w:tc>
          <w:tcPr>
            <w:tcW w:w="417" w:type="dxa"/>
            <w:tcBorders>
              <w:top w:val="nil"/>
              <w:left w:val="single" w:sz="8" w:space="0" w:color="000000"/>
              <w:bottom w:val="nil"/>
              <w:right w:val="nil"/>
            </w:tcBorders>
          </w:tcPr>
          <w:p w:rsidR="009121E7" w:rsidRPr="00183926" w:rsidRDefault="009121E7" w:rsidP="007B2EDB">
            <w:pPr>
              <w:jc w:val="both"/>
              <w:rPr>
                <w:rFonts w:cs="Arial"/>
                <w:color w:val="auto"/>
              </w:rPr>
            </w:pPr>
            <w:r w:rsidRPr="00183926">
              <w:rPr>
                <w:rFonts w:cs="Arial"/>
                <w:color w:val="auto"/>
              </w:rPr>
              <w:t>3.</w:t>
            </w:r>
          </w:p>
        </w:tc>
        <w:tc>
          <w:tcPr>
            <w:tcW w:w="8527" w:type="dxa"/>
            <w:gridSpan w:val="2"/>
            <w:tcBorders>
              <w:top w:val="nil"/>
              <w:left w:val="nil"/>
              <w:bottom w:val="nil"/>
              <w:right w:val="single" w:sz="8" w:space="0" w:color="000000"/>
            </w:tcBorders>
            <w:shd w:val="clear" w:color="auto" w:fill="auto"/>
          </w:tcPr>
          <w:p w:rsidR="009121E7" w:rsidRPr="00183926" w:rsidRDefault="00816E4A" w:rsidP="00816E4A">
            <w:pPr>
              <w:pStyle w:val="ListParagraph"/>
              <w:numPr>
                <w:ilvl w:val="0"/>
                <w:numId w:val="0"/>
              </w:numPr>
              <w:autoSpaceDE w:val="0"/>
              <w:autoSpaceDN w:val="0"/>
              <w:adjustRightInd w:val="0"/>
              <w:spacing w:after="0"/>
              <w:ind w:left="720"/>
              <w:contextualSpacing/>
              <w:jc w:val="both"/>
              <w:rPr>
                <w:rFonts w:cs="Arial"/>
                <w:color w:val="auto"/>
              </w:rPr>
            </w:pPr>
            <w:r w:rsidRPr="00816E4A">
              <w:rPr>
                <w:rFonts w:cs="Arial"/>
                <w:b/>
                <w:color w:val="auto"/>
                <w:szCs w:val="22"/>
              </w:rPr>
              <w:t>R</w:t>
            </w:r>
            <w:r w:rsidR="00F415DF" w:rsidRPr="00816E4A">
              <w:rPr>
                <w:rFonts w:cs="Arial"/>
                <w:b/>
                <w:color w:val="auto"/>
                <w:szCs w:val="22"/>
              </w:rPr>
              <w:t xml:space="preserve">ecommend </w:t>
            </w:r>
            <w:r w:rsidR="00F415DF">
              <w:rPr>
                <w:rFonts w:cs="Arial"/>
                <w:color w:val="auto"/>
                <w:szCs w:val="22"/>
              </w:rPr>
              <w:t xml:space="preserve">that Council </w:t>
            </w:r>
            <w:r w:rsidR="008C575B">
              <w:rPr>
                <w:rFonts w:cs="Arial"/>
                <w:color w:val="auto"/>
                <w:szCs w:val="22"/>
              </w:rPr>
              <w:t>a</w:t>
            </w:r>
            <w:r w:rsidR="00F415DF">
              <w:rPr>
                <w:rFonts w:cs="Arial"/>
                <w:color w:val="auto"/>
                <w:szCs w:val="22"/>
              </w:rPr>
              <w:t xml:space="preserve">llocates a budget </w:t>
            </w:r>
            <w:r w:rsidR="00DC5722">
              <w:rPr>
                <w:rFonts w:cs="Arial"/>
                <w:color w:val="auto"/>
                <w:szCs w:val="22"/>
              </w:rPr>
              <w:t>of £30</w:t>
            </w:r>
            <w:r w:rsidR="00496F8A" w:rsidRPr="00183926">
              <w:rPr>
                <w:rFonts w:cs="Arial"/>
                <w:color w:val="auto"/>
                <w:szCs w:val="22"/>
              </w:rPr>
              <w:t xml:space="preserve">,000 </w:t>
            </w:r>
            <w:r w:rsidR="00FF3AD7">
              <w:rPr>
                <w:rFonts w:cs="Arial"/>
                <w:color w:val="auto"/>
                <w:szCs w:val="22"/>
              </w:rPr>
              <w:t xml:space="preserve">funded from </w:t>
            </w:r>
            <w:r w:rsidR="00F415DF">
              <w:rPr>
                <w:rFonts w:cs="Arial"/>
                <w:color w:val="auto"/>
                <w:szCs w:val="22"/>
              </w:rPr>
              <w:t xml:space="preserve">reserves </w:t>
            </w:r>
            <w:r w:rsidR="00496F8A" w:rsidRPr="00183926">
              <w:rPr>
                <w:rFonts w:cs="Arial"/>
                <w:color w:val="auto"/>
                <w:szCs w:val="22"/>
              </w:rPr>
              <w:t xml:space="preserve">to pay the </w:t>
            </w:r>
            <w:r w:rsidR="00C77F25">
              <w:rPr>
                <w:rFonts w:cs="Arial"/>
                <w:color w:val="auto"/>
                <w:szCs w:val="22"/>
              </w:rPr>
              <w:t>C</w:t>
            </w:r>
            <w:r w:rsidR="00083179">
              <w:rPr>
                <w:rFonts w:cs="Arial"/>
                <w:color w:val="auto"/>
                <w:szCs w:val="22"/>
              </w:rPr>
              <w:t xml:space="preserve">ity </w:t>
            </w:r>
            <w:r w:rsidR="00C77F25">
              <w:rPr>
                <w:rFonts w:cs="Arial"/>
                <w:color w:val="auto"/>
                <w:szCs w:val="22"/>
              </w:rPr>
              <w:t>C</w:t>
            </w:r>
            <w:r w:rsidR="00496F8A" w:rsidRPr="00183926">
              <w:rPr>
                <w:rFonts w:cs="Arial"/>
                <w:color w:val="auto"/>
                <w:szCs w:val="22"/>
              </w:rPr>
              <w:t xml:space="preserve">ouncil’s share of the costs </w:t>
            </w:r>
            <w:r w:rsidR="00083179">
              <w:rPr>
                <w:rFonts w:cs="Arial"/>
                <w:color w:val="auto"/>
                <w:szCs w:val="22"/>
              </w:rPr>
              <w:t xml:space="preserve">for </w:t>
            </w:r>
            <w:r>
              <w:rPr>
                <w:rFonts w:cs="Arial"/>
                <w:color w:val="auto"/>
                <w:szCs w:val="22"/>
              </w:rPr>
              <w:t>2019; and</w:t>
            </w:r>
            <w:r w:rsidR="00F415DF">
              <w:rPr>
                <w:rFonts w:cs="Arial"/>
                <w:color w:val="auto"/>
                <w:szCs w:val="22"/>
              </w:rPr>
              <w:t xml:space="preserve"> </w:t>
            </w:r>
          </w:p>
        </w:tc>
      </w:tr>
      <w:tr w:rsidR="00210C91" w:rsidRPr="00183926" w:rsidTr="00816E4A">
        <w:trPr>
          <w:trHeight w:val="283"/>
        </w:trPr>
        <w:tc>
          <w:tcPr>
            <w:tcW w:w="417" w:type="dxa"/>
            <w:tcBorders>
              <w:top w:val="nil"/>
              <w:left w:val="single" w:sz="8" w:space="0" w:color="000000"/>
              <w:bottom w:val="single" w:sz="8" w:space="0" w:color="000000"/>
              <w:right w:val="nil"/>
            </w:tcBorders>
          </w:tcPr>
          <w:p w:rsidR="009121E7" w:rsidRPr="00183926" w:rsidRDefault="00FF3AD7" w:rsidP="007B2EDB">
            <w:pPr>
              <w:jc w:val="both"/>
              <w:rPr>
                <w:rFonts w:cs="Arial"/>
                <w:color w:val="auto"/>
              </w:rPr>
            </w:pPr>
            <w:r>
              <w:rPr>
                <w:rFonts w:cs="Arial"/>
                <w:color w:val="auto"/>
              </w:rPr>
              <w:t>4</w:t>
            </w:r>
            <w:r w:rsidR="009121E7" w:rsidRPr="00183926">
              <w:rPr>
                <w:rFonts w:cs="Arial"/>
                <w:color w:val="auto"/>
              </w:rPr>
              <w:t>.</w:t>
            </w:r>
          </w:p>
        </w:tc>
        <w:tc>
          <w:tcPr>
            <w:tcW w:w="8527" w:type="dxa"/>
            <w:gridSpan w:val="2"/>
            <w:tcBorders>
              <w:top w:val="nil"/>
              <w:left w:val="nil"/>
              <w:bottom w:val="single" w:sz="8" w:space="0" w:color="000000"/>
              <w:right w:val="single" w:sz="8" w:space="0" w:color="000000"/>
            </w:tcBorders>
            <w:shd w:val="clear" w:color="auto" w:fill="auto"/>
          </w:tcPr>
          <w:p w:rsidR="00496F8A" w:rsidRPr="00183926" w:rsidRDefault="00816E4A" w:rsidP="00816E4A">
            <w:pPr>
              <w:pStyle w:val="ListParagraph"/>
              <w:numPr>
                <w:ilvl w:val="0"/>
                <w:numId w:val="0"/>
              </w:numPr>
              <w:autoSpaceDE w:val="0"/>
              <w:autoSpaceDN w:val="0"/>
              <w:adjustRightInd w:val="0"/>
              <w:spacing w:after="0"/>
              <w:ind w:left="720"/>
              <w:contextualSpacing/>
              <w:jc w:val="both"/>
              <w:rPr>
                <w:rFonts w:cs="Arial"/>
                <w:color w:val="auto"/>
              </w:rPr>
            </w:pPr>
            <w:r w:rsidRPr="00816E4A">
              <w:rPr>
                <w:rFonts w:cs="Arial"/>
                <w:b/>
                <w:color w:val="auto"/>
                <w:szCs w:val="22"/>
              </w:rPr>
              <w:t>A</w:t>
            </w:r>
            <w:r w:rsidR="00496F8A" w:rsidRPr="00816E4A">
              <w:rPr>
                <w:rFonts w:cs="Arial"/>
                <w:b/>
                <w:color w:val="auto"/>
                <w:szCs w:val="22"/>
              </w:rPr>
              <w:t>gree</w:t>
            </w:r>
            <w:r w:rsidR="00496F8A" w:rsidRPr="00183926">
              <w:rPr>
                <w:rFonts w:cs="Arial"/>
                <w:color w:val="auto"/>
                <w:szCs w:val="22"/>
              </w:rPr>
              <w:t xml:space="preserve"> that sponsorship, regardless of which partner attracts it, will be used to reduce the hosting costs on an equal basis</w:t>
            </w:r>
            <w:r w:rsidR="000D2E3B" w:rsidRPr="00183926">
              <w:rPr>
                <w:rFonts w:cs="Arial"/>
                <w:color w:val="auto"/>
                <w:szCs w:val="22"/>
              </w:rPr>
              <w:t>.</w:t>
            </w:r>
          </w:p>
        </w:tc>
      </w:tr>
      <w:bookmarkEnd w:id="0"/>
    </w:tbl>
    <w:p w:rsidR="00CE544A" w:rsidRPr="00183926" w:rsidRDefault="00CE544A" w:rsidP="007B2EDB">
      <w:pPr>
        <w:jc w:val="both"/>
        <w:rPr>
          <w:rFonts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183926" w:rsidRPr="00183926"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183926" w:rsidRDefault="00966D42" w:rsidP="007B2EDB">
            <w:pPr>
              <w:jc w:val="both"/>
              <w:rPr>
                <w:rFonts w:cs="Arial"/>
                <w:color w:val="auto"/>
              </w:rPr>
            </w:pPr>
            <w:r w:rsidRPr="00183926">
              <w:rPr>
                <w:rStyle w:val="Firstpagetablebold"/>
                <w:rFonts w:cs="Arial"/>
                <w:color w:val="auto"/>
              </w:rPr>
              <w:t>Appendices</w:t>
            </w:r>
          </w:p>
        </w:tc>
      </w:tr>
      <w:tr w:rsidR="00183926" w:rsidRPr="00183926" w:rsidTr="00816E4A">
        <w:tc>
          <w:tcPr>
            <w:tcW w:w="2438" w:type="dxa"/>
            <w:tcBorders>
              <w:top w:val="single" w:sz="8" w:space="0" w:color="000000"/>
              <w:left w:val="single" w:sz="8" w:space="0" w:color="000000"/>
              <w:bottom w:val="single" w:sz="4" w:space="0" w:color="auto"/>
              <w:right w:val="nil"/>
            </w:tcBorders>
            <w:shd w:val="clear" w:color="auto" w:fill="auto"/>
          </w:tcPr>
          <w:p w:rsidR="00ED5860" w:rsidRPr="00183926" w:rsidRDefault="00ED5860" w:rsidP="007B2EDB">
            <w:pPr>
              <w:jc w:val="both"/>
              <w:rPr>
                <w:rFonts w:cs="Arial"/>
                <w:color w:val="auto"/>
              </w:rPr>
            </w:pPr>
            <w:r w:rsidRPr="00183926">
              <w:rPr>
                <w:rFonts w:cs="Arial"/>
                <w:color w:val="auto"/>
              </w:rPr>
              <w:t>Appendix 1</w:t>
            </w:r>
          </w:p>
        </w:tc>
        <w:tc>
          <w:tcPr>
            <w:tcW w:w="6406" w:type="dxa"/>
            <w:tcBorders>
              <w:top w:val="single" w:sz="8" w:space="0" w:color="000000"/>
              <w:left w:val="nil"/>
              <w:bottom w:val="single" w:sz="4" w:space="0" w:color="auto"/>
              <w:right w:val="single" w:sz="8" w:space="0" w:color="000000"/>
            </w:tcBorders>
          </w:tcPr>
          <w:p w:rsidR="00ED5860" w:rsidRPr="00183926" w:rsidRDefault="00C164B1" w:rsidP="007B2EDB">
            <w:pPr>
              <w:jc w:val="both"/>
              <w:rPr>
                <w:rFonts w:cs="Arial"/>
                <w:color w:val="auto"/>
              </w:rPr>
            </w:pPr>
            <w:r w:rsidRPr="00183926">
              <w:rPr>
                <w:rFonts w:cs="Arial"/>
                <w:color w:val="auto"/>
              </w:rPr>
              <w:t xml:space="preserve">Risk Register </w:t>
            </w:r>
          </w:p>
        </w:tc>
      </w:tr>
    </w:tbl>
    <w:p w:rsidR="00816E4A" w:rsidRDefault="00816E4A" w:rsidP="007B2EDB">
      <w:pPr>
        <w:pStyle w:val="Heading1"/>
        <w:jc w:val="both"/>
        <w:rPr>
          <w:rFonts w:cs="Arial"/>
          <w:color w:val="auto"/>
        </w:rPr>
      </w:pPr>
    </w:p>
    <w:p w:rsidR="00816E4A" w:rsidRDefault="00816E4A" w:rsidP="007B2EDB">
      <w:pPr>
        <w:pStyle w:val="Heading1"/>
        <w:jc w:val="both"/>
        <w:rPr>
          <w:rFonts w:cs="Arial"/>
          <w:color w:val="auto"/>
        </w:rPr>
      </w:pPr>
    </w:p>
    <w:p w:rsidR="00816E4A" w:rsidRDefault="00816E4A" w:rsidP="00816E4A"/>
    <w:p w:rsidR="00816E4A" w:rsidRDefault="00816E4A" w:rsidP="00816E4A"/>
    <w:p w:rsidR="008D1577" w:rsidRDefault="008D1577" w:rsidP="007B2EDB">
      <w:pPr>
        <w:pStyle w:val="Heading1"/>
        <w:jc w:val="both"/>
        <w:rPr>
          <w:rFonts w:cs="Arial"/>
          <w:color w:val="auto"/>
        </w:rPr>
      </w:pPr>
    </w:p>
    <w:p w:rsidR="00FD60B7" w:rsidRPr="00183926" w:rsidRDefault="00F66DCA" w:rsidP="007B2EDB">
      <w:pPr>
        <w:pStyle w:val="Heading1"/>
        <w:jc w:val="both"/>
        <w:rPr>
          <w:color w:val="auto"/>
        </w:rPr>
      </w:pPr>
      <w:r w:rsidRPr="00183926">
        <w:rPr>
          <w:rFonts w:cs="Arial"/>
          <w:color w:val="auto"/>
        </w:rPr>
        <w:lastRenderedPageBreak/>
        <w:t>Introduction and b</w:t>
      </w:r>
      <w:r w:rsidR="00151888" w:rsidRPr="00183926">
        <w:rPr>
          <w:rFonts w:cs="Arial"/>
          <w:color w:val="auto"/>
        </w:rPr>
        <w:t>ackground</w:t>
      </w:r>
      <w:r w:rsidR="00404032" w:rsidRPr="00183926">
        <w:rPr>
          <w:rFonts w:cs="Arial"/>
          <w:color w:val="auto"/>
        </w:rPr>
        <w:t xml:space="preserve"> </w:t>
      </w:r>
      <w:r w:rsidR="00C95401" w:rsidRPr="00183926">
        <w:rPr>
          <w:rFonts w:cs="Arial"/>
          <w:color w:val="auto"/>
        </w:rPr>
        <w:t xml:space="preserve"> </w:t>
      </w:r>
    </w:p>
    <w:p w:rsidR="006F701C" w:rsidRPr="00183926" w:rsidRDefault="00FD60B7" w:rsidP="007B2EDB">
      <w:pPr>
        <w:pStyle w:val="NormalWeb"/>
        <w:numPr>
          <w:ilvl w:val="0"/>
          <w:numId w:val="7"/>
        </w:numPr>
        <w:jc w:val="both"/>
        <w:rPr>
          <w:rFonts w:ascii="Arial" w:hAnsi="Arial" w:cs="Arial"/>
          <w:color w:val="auto"/>
        </w:rPr>
      </w:pPr>
      <w:r w:rsidRPr="00183926">
        <w:rPr>
          <w:rFonts w:ascii="Arial" w:hAnsi="Arial" w:cs="Arial"/>
          <w:color w:val="auto"/>
        </w:rPr>
        <w:t xml:space="preserve">The 2019 </w:t>
      </w:r>
      <w:r w:rsidR="006F701C" w:rsidRPr="00183926">
        <w:rPr>
          <w:rFonts w:ascii="Arial" w:hAnsi="Arial" w:cs="Arial"/>
          <w:color w:val="auto"/>
        </w:rPr>
        <w:t xml:space="preserve">OVO Energy Women’s Tour </w:t>
      </w:r>
      <w:r w:rsidRPr="00183926">
        <w:rPr>
          <w:rFonts w:ascii="Arial" w:hAnsi="Arial" w:cs="Arial"/>
          <w:color w:val="auto"/>
        </w:rPr>
        <w:t>takes place from the 10</w:t>
      </w:r>
      <w:r w:rsidRPr="00183926">
        <w:rPr>
          <w:rFonts w:ascii="Arial" w:hAnsi="Arial" w:cs="Arial"/>
          <w:color w:val="auto"/>
          <w:vertAlign w:val="superscript"/>
        </w:rPr>
        <w:t>th</w:t>
      </w:r>
      <w:r w:rsidRPr="00183926">
        <w:rPr>
          <w:rFonts w:ascii="Arial" w:hAnsi="Arial" w:cs="Arial"/>
          <w:color w:val="auto"/>
        </w:rPr>
        <w:t xml:space="preserve"> to the 15</w:t>
      </w:r>
      <w:r w:rsidRPr="00183926">
        <w:rPr>
          <w:rFonts w:ascii="Arial" w:hAnsi="Arial" w:cs="Arial"/>
          <w:color w:val="auto"/>
          <w:vertAlign w:val="superscript"/>
        </w:rPr>
        <w:t>th</w:t>
      </w:r>
      <w:r w:rsidRPr="00183926">
        <w:rPr>
          <w:rFonts w:ascii="Arial" w:hAnsi="Arial" w:cs="Arial"/>
          <w:color w:val="auto"/>
        </w:rPr>
        <w:t xml:space="preserve"> of June. It is </w:t>
      </w:r>
      <w:r w:rsidR="001247C2">
        <w:rPr>
          <w:rFonts w:ascii="Arial" w:hAnsi="Arial" w:cs="Arial"/>
          <w:color w:val="auto"/>
        </w:rPr>
        <w:t xml:space="preserve">a five </w:t>
      </w:r>
      <w:r w:rsidR="006F701C" w:rsidRPr="00183926">
        <w:rPr>
          <w:rFonts w:ascii="Arial" w:hAnsi="Arial" w:cs="Arial"/>
          <w:color w:val="auto"/>
        </w:rPr>
        <w:t xml:space="preserve">day </w:t>
      </w:r>
      <w:r w:rsidR="001247C2">
        <w:rPr>
          <w:rFonts w:ascii="Arial" w:hAnsi="Arial" w:cs="Arial"/>
          <w:color w:val="auto"/>
        </w:rPr>
        <w:t xml:space="preserve">(stage) </w:t>
      </w:r>
      <w:r w:rsidR="006F701C" w:rsidRPr="00183926">
        <w:rPr>
          <w:rFonts w:ascii="Arial" w:hAnsi="Arial" w:cs="Arial"/>
          <w:color w:val="auto"/>
        </w:rPr>
        <w:t xml:space="preserve">event </w:t>
      </w:r>
      <w:r w:rsidR="006C411C" w:rsidRPr="00183926">
        <w:rPr>
          <w:rFonts w:ascii="Arial" w:hAnsi="Arial" w:cs="Arial"/>
          <w:color w:val="auto"/>
        </w:rPr>
        <w:t xml:space="preserve">and </w:t>
      </w:r>
      <w:r w:rsidR="00DE5531" w:rsidRPr="00183926">
        <w:rPr>
          <w:rFonts w:ascii="Arial" w:hAnsi="Arial" w:cs="Arial"/>
          <w:color w:val="auto"/>
        </w:rPr>
        <w:t xml:space="preserve">is </w:t>
      </w:r>
      <w:r w:rsidR="006F701C" w:rsidRPr="00183926">
        <w:rPr>
          <w:rFonts w:ascii="Arial" w:hAnsi="Arial" w:cs="Arial"/>
          <w:color w:val="auto"/>
        </w:rPr>
        <w:t xml:space="preserve">regarded as one of the leading </w:t>
      </w:r>
      <w:r w:rsidR="00210C91" w:rsidRPr="00183926">
        <w:rPr>
          <w:rFonts w:ascii="Arial" w:hAnsi="Arial" w:cs="Arial"/>
          <w:color w:val="auto"/>
        </w:rPr>
        <w:t xml:space="preserve">professional women’s </w:t>
      </w:r>
      <w:r w:rsidR="001247C2">
        <w:rPr>
          <w:rFonts w:ascii="Arial" w:hAnsi="Arial" w:cs="Arial"/>
          <w:color w:val="auto"/>
        </w:rPr>
        <w:t xml:space="preserve">stage </w:t>
      </w:r>
      <w:r w:rsidR="00083179">
        <w:rPr>
          <w:rFonts w:ascii="Arial" w:hAnsi="Arial" w:cs="Arial"/>
          <w:color w:val="auto"/>
        </w:rPr>
        <w:t xml:space="preserve">cycling </w:t>
      </w:r>
      <w:r w:rsidR="00210C91" w:rsidRPr="00183926">
        <w:rPr>
          <w:rFonts w:ascii="Arial" w:hAnsi="Arial" w:cs="Arial"/>
          <w:color w:val="auto"/>
        </w:rPr>
        <w:t>race</w:t>
      </w:r>
      <w:r w:rsidR="00083179">
        <w:rPr>
          <w:rFonts w:ascii="Arial" w:hAnsi="Arial" w:cs="Arial"/>
          <w:color w:val="auto"/>
        </w:rPr>
        <w:t>s</w:t>
      </w:r>
      <w:r w:rsidR="005D305D" w:rsidRPr="00183926">
        <w:rPr>
          <w:rFonts w:ascii="Arial" w:hAnsi="Arial" w:cs="Arial"/>
          <w:color w:val="auto"/>
        </w:rPr>
        <w:t>.</w:t>
      </w:r>
      <w:r w:rsidR="006C411C" w:rsidRPr="00183926">
        <w:rPr>
          <w:rFonts w:ascii="Arial" w:hAnsi="Arial" w:cs="Arial"/>
          <w:color w:val="auto"/>
        </w:rPr>
        <w:t xml:space="preserve"> </w:t>
      </w:r>
    </w:p>
    <w:p w:rsidR="004A2007" w:rsidRPr="004A2007" w:rsidRDefault="007B2EDB" w:rsidP="007B2EDB">
      <w:pPr>
        <w:pStyle w:val="ListParagraph"/>
        <w:numPr>
          <w:ilvl w:val="0"/>
          <w:numId w:val="7"/>
        </w:numPr>
        <w:jc w:val="both"/>
        <w:rPr>
          <w:rFonts w:cs="Arial"/>
          <w:color w:val="auto"/>
        </w:rPr>
      </w:pPr>
      <w:r>
        <w:t xml:space="preserve">The race began as a supporting event for the men’s tour series which is Britain’s leading televised cycle race series. </w:t>
      </w:r>
      <w:r w:rsidRPr="004A2007">
        <w:rPr>
          <w:bCs/>
        </w:rPr>
        <w:t>It has grown into a prestigious event in its own right.</w:t>
      </w:r>
      <w:r w:rsidRPr="007B2EDB">
        <w:t xml:space="preserve"> </w:t>
      </w:r>
      <w:r w:rsidRPr="004A2007">
        <w:rPr>
          <w:bCs/>
        </w:rPr>
        <w:t>It is now the premier women’s cycling race on the international circuit, being the only women’s race that has 5 stages. This year for the first time they will be awarding the same prize money for the Women’s Tour as for the Men’s Tour.</w:t>
      </w:r>
    </w:p>
    <w:p w:rsidR="000D2E3B" w:rsidRPr="004A2007" w:rsidRDefault="000D2E3B" w:rsidP="007B2EDB">
      <w:pPr>
        <w:pStyle w:val="ListParagraph"/>
        <w:numPr>
          <w:ilvl w:val="0"/>
          <w:numId w:val="7"/>
        </w:numPr>
        <w:jc w:val="both"/>
        <w:rPr>
          <w:rFonts w:cs="Arial"/>
          <w:color w:val="auto"/>
        </w:rPr>
      </w:pPr>
      <w:r w:rsidRPr="004A2007">
        <w:rPr>
          <w:rFonts w:cs="Arial"/>
          <w:color w:val="auto"/>
        </w:rPr>
        <w:t xml:space="preserve">All </w:t>
      </w:r>
      <w:r w:rsidR="001247C2" w:rsidRPr="004A2007">
        <w:rPr>
          <w:rFonts w:cs="Arial"/>
          <w:color w:val="auto"/>
        </w:rPr>
        <w:t xml:space="preserve">councils across Oxfordshire have </w:t>
      </w:r>
      <w:r w:rsidRPr="004A2007">
        <w:rPr>
          <w:rFonts w:cs="Arial"/>
          <w:color w:val="auto"/>
        </w:rPr>
        <w:t xml:space="preserve">agreed, in principle, at an Oxfordshire Leaders meeting on </w:t>
      </w:r>
      <w:r w:rsidR="001247C2" w:rsidRPr="004A2007">
        <w:rPr>
          <w:rFonts w:cs="Arial"/>
          <w:color w:val="auto"/>
        </w:rPr>
        <w:t xml:space="preserve">the </w:t>
      </w:r>
      <w:r w:rsidRPr="004A2007">
        <w:rPr>
          <w:rFonts w:cs="Arial"/>
          <w:color w:val="auto"/>
        </w:rPr>
        <w:t>4</w:t>
      </w:r>
      <w:r w:rsidR="001247C2" w:rsidRPr="004A2007">
        <w:rPr>
          <w:rFonts w:cs="Arial"/>
          <w:color w:val="auto"/>
          <w:vertAlign w:val="superscript"/>
        </w:rPr>
        <w:t>th</w:t>
      </w:r>
      <w:r w:rsidR="001247C2" w:rsidRPr="004A2007">
        <w:rPr>
          <w:rFonts w:cs="Arial"/>
          <w:color w:val="auto"/>
        </w:rPr>
        <w:t xml:space="preserve"> </w:t>
      </w:r>
      <w:r w:rsidRPr="004A2007">
        <w:rPr>
          <w:rFonts w:cs="Arial"/>
          <w:color w:val="auto"/>
        </w:rPr>
        <w:t>March for Oxfordshire to be a host venue over the next three years. This will include hosting the overall start and finis</w:t>
      </w:r>
      <w:r w:rsidR="001247C2" w:rsidRPr="004A2007">
        <w:rPr>
          <w:rFonts w:cs="Arial"/>
          <w:color w:val="auto"/>
        </w:rPr>
        <w:t>h in 2020 and 2021 and hosting stage three</w:t>
      </w:r>
      <w:r w:rsidRPr="004A2007">
        <w:rPr>
          <w:rFonts w:cs="Arial"/>
          <w:color w:val="auto"/>
        </w:rPr>
        <w:t xml:space="preserve"> of the event on </w:t>
      </w:r>
      <w:r w:rsidR="00083179" w:rsidRPr="004A2007">
        <w:rPr>
          <w:rFonts w:cs="Arial"/>
          <w:color w:val="auto"/>
        </w:rPr>
        <w:t xml:space="preserve">the </w:t>
      </w:r>
      <w:r w:rsidRPr="004A2007">
        <w:rPr>
          <w:rFonts w:cs="Arial"/>
          <w:color w:val="auto"/>
        </w:rPr>
        <w:t>12</w:t>
      </w:r>
      <w:r w:rsidR="00083179" w:rsidRPr="004A2007">
        <w:rPr>
          <w:rFonts w:cs="Arial"/>
          <w:color w:val="auto"/>
          <w:vertAlign w:val="superscript"/>
        </w:rPr>
        <w:t>th</w:t>
      </w:r>
      <w:r w:rsidR="00083179" w:rsidRPr="004A2007">
        <w:rPr>
          <w:rFonts w:cs="Arial"/>
          <w:color w:val="auto"/>
        </w:rPr>
        <w:t xml:space="preserve"> </w:t>
      </w:r>
      <w:r w:rsidRPr="004A2007">
        <w:rPr>
          <w:rFonts w:cs="Arial"/>
          <w:color w:val="auto"/>
        </w:rPr>
        <w:t>June 2019.</w:t>
      </w:r>
    </w:p>
    <w:p w:rsidR="001247C2" w:rsidRDefault="001247C2" w:rsidP="007B2EDB">
      <w:pPr>
        <w:pStyle w:val="NormalWeb"/>
        <w:numPr>
          <w:ilvl w:val="0"/>
          <w:numId w:val="7"/>
        </w:numPr>
        <w:jc w:val="both"/>
        <w:rPr>
          <w:rFonts w:ascii="Arial" w:hAnsi="Arial" w:cs="Arial"/>
          <w:color w:val="auto"/>
        </w:rPr>
      </w:pPr>
      <w:r w:rsidRPr="00083179">
        <w:rPr>
          <w:rFonts w:ascii="Arial" w:hAnsi="Arial" w:cs="Arial"/>
          <w:color w:val="auto"/>
        </w:rPr>
        <w:t xml:space="preserve">The first year will see day three of the tour taking place in Oxfordshire with the route going through South Oxfordshire and the Vale of White Horse and the end of the stage taking place at Blenheim Palace. The routes for year two and year </w:t>
      </w:r>
      <w:r>
        <w:rPr>
          <w:rFonts w:ascii="Arial" w:hAnsi="Arial" w:cs="Arial"/>
          <w:color w:val="auto"/>
        </w:rPr>
        <w:t>three are yet to be determined.</w:t>
      </w:r>
    </w:p>
    <w:p w:rsidR="00760071" w:rsidRPr="009761C7" w:rsidRDefault="00760071" w:rsidP="00760071">
      <w:pPr>
        <w:pStyle w:val="NormalWeb"/>
        <w:numPr>
          <w:ilvl w:val="0"/>
          <w:numId w:val="7"/>
        </w:numPr>
        <w:jc w:val="both"/>
        <w:rPr>
          <w:rFonts w:ascii="Arial" w:hAnsi="Arial" w:cs="Arial"/>
          <w:color w:val="auto"/>
          <w:u w:val="single"/>
        </w:rPr>
      </w:pPr>
      <w:r w:rsidRPr="00183926">
        <w:rPr>
          <w:rFonts w:ascii="Arial" w:hAnsi="Arial" w:cs="Arial"/>
          <w:color w:val="auto"/>
        </w:rPr>
        <w:t xml:space="preserve">The OVO Energy Women’s Tour is organised by </w:t>
      </w:r>
      <w:proofErr w:type="spellStart"/>
      <w:r w:rsidRPr="00183926">
        <w:rPr>
          <w:rFonts w:ascii="Arial" w:hAnsi="Arial" w:cs="Arial"/>
          <w:color w:val="auto"/>
        </w:rPr>
        <w:t>SweetSpot</w:t>
      </w:r>
      <w:proofErr w:type="spellEnd"/>
      <w:r>
        <w:rPr>
          <w:rFonts w:ascii="Arial" w:hAnsi="Arial" w:cs="Arial"/>
          <w:color w:val="auto"/>
        </w:rPr>
        <w:t xml:space="preserve"> Group Limited (</w:t>
      </w:r>
      <w:proofErr w:type="spellStart"/>
      <w:r>
        <w:rPr>
          <w:rFonts w:ascii="Arial" w:hAnsi="Arial" w:cs="Arial"/>
          <w:color w:val="auto"/>
        </w:rPr>
        <w:t>SweetSpot</w:t>
      </w:r>
      <w:proofErr w:type="spellEnd"/>
      <w:r>
        <w:rPr>
          <w:rFonts w:ascii="Arial" w:hAnsi="Arial" w:cs="Arial"/>
          <w:color w:val="auto"/>
        </w:rPr>
        <w:t xml:space="preserve">) </w:t>
      </w:r>
      <w:r w:rsidRPr="002C52E0">
        <w:rPr>
          <w:rFonts w:ascii="Arial" w:hAnsi="Arial" w:cs="Arial"/>
          <w:color w:val="auto"/>
        </w:rPr>
        <w:t>a sports events and marketing company </w:t>
      </w:r>
      <w:r w:rsidRPr="00183926">
        <w:rPr>
          <w:rFonts w:ascii="Arial" w:hAnsi="Arial" w:cs="Arial"/>
          <w:color w:val="auto"/>
        </w:rPr>
        <w:t xml:space="preserve">who are also the </w:t>
      </w:r>
      <w:r w:rsidRPr="009761C7">
        <w:rPr>
          <w:rFonts w:ascii="Arial" w:hAnsi="Arial" w:cs="Arial"/>
          <w:color w:val="auto"/>
        </w:rPr>
        <w:t xml:space="preserve">company behind the men’s </w:t>
      </w:r>
      <w:hyperlink r:id="rId9" w:history="1">
        <w:r w:rsidRPr="009761C7">
          <w:rPr>
            <w:rStyle w:val="Hyperlink"/>
            <w:rFonts w:cs="Arial"/>
            <w:color w:val="auto"/>
            <w:u w:val="none"/>
          </w:rPr>
          <w:t>OVO Energy Tour of Britain</w:t>
        </w:r>
      </w:hyperlink>
      <w:r w:rsidRPr="009761C7">
        <w:rPr>
          <w:rStyle w:val="Hyperlink"/>
          <w:rFonts w:cs="Arial"/>
          <w:color w:val="auto"/>
          <w:u w:val="none"/>
        </w:rPr>
        <w:t>.</w:t>
      </w:r>
      <w:r w:rsidRPr="009761C7">
        <w:rPr>
          <w:rFonts w:ascii="Arial" w:hAnsi="Arial" w:cs="Arial"/>
          <w:color w:val="auto"/>
        </w:rPr>
        <w:t xml:space="preserve"> </w:t>
      </w:r>
    </w:p>
    <w:p w:rsidR="00760071" w:rsidRPr="009761C7" w:rsidRDefault="00760071" w:rsidP="00760071">
      <w:pPr>
        <w:pStyle w:val="TableText"/>
        <w:numPr>
          <w:ilvl w:val="0"/>
          <w:numId w:val="7"/>
        </w:numPr>
        <w:jc w:val="both"/>
        <w:rPr>
          <w:rFonts w:ascii="Arial" w:hAnsi="Arial" w:cs="Arial"/>
          <w:sz w:val="24"/>
        </w:rPr>
      </w:pPr>
      <w:r w:rsidRPr="009761C7">
        <w:rPr>
          <w:rFonts w:ascii="Arial" w:hAnsi="Arial" w:cs="Arial"/>
          <w:sz w:val="24"/>
        </w:rPr>
        <w:t>The delivery of the tour over the three years will be in partnership between the county council, the district</w:t>
      </w:r>
      <w:r w:rsidR="008D1577">
        <w:rPr>
          <w:rFonts w:ascii="Arial" w:hAnsi="Arial" w:cs="Arial"/>
          <w:sz w:val="24"/>
        </w:rPr>
        <w:t xml:space="preserve"> councils in Oxfordshire, the City C</w:t>
      </w:r>
      <w:r>
        <w:rPr>
          <w:rFonts w:ascii="Arial" w:hAnsi="Arial" w:cs="Arial"/>
          <w:sz w:val="24"/>
        </w:rPr>
        <w:t xml:space="preserve">ouncil and </w:t>
      </w:r>
      <w:proofErr w:type="spellStart"/>
      <w:r w:rsidRPr="009761C7">
        <w:rPr>
          <w:rFonts w:ascii="Arial" w:hAnsi="Arial" w:cs="Arial"/>
          <w:sz w:val="24"/>
        </w:rPr>
        <w:t>SweetSpot</w:t>
      </w:r>
      <w:proofErr w:type="spellEnd"/>
      <w:r w:rsidRPr="009761C7">
        <w:rPr>
          <w:rFonts w:ascii="Arial" w:hAnsi="Arial" w:cs="Arial"/>
          <w:sz w:val="24"/>
        </w:rPr>
        <w:t xml:space="preserve">. </w:t>
      </w:r>
    </w:p>
    <w:p w:rsidR="00B23D86" w:rsidRPr="00B23D86" w:rsidRDefault="00B23D86" w:rsidP="007B2EDB">
      <w:pPr>
        <w:pStyle w:val="ListParagraph"/>
        <w:numPr>
          <w:ilvl w:val="0"/>
          <w:numId w:val="7"/>
        </w:numPr>
        <w:jc w:val="both"/>
        <w:rPr>
          <w:rStyle w:val="Firstpagetablebold"/>
          <w:rFonts w:cs="Arial"/>
          <w:color w:val="auto"/>
        </w:rPr>
      </w:pPr>
      <w:r w:rsidRPr="00B23D86">
        <w:rPr>
          <w:rFonts w:cs="Arial"/>
        </w:rPr>
        <w:t xml:space="preserve">This report asks for the </w:t>
      </w:r>
      <w:r w:rsidR="008D1577">
        <w:rPr>
          <w:rFonts w:cs="Arial"/>
        </w:rPr>
        <w:t xml:space="preserve">Cabinet </w:t>
      </w:r>
      <w:r w:rsidRPr="00B23D86">
        <w:rPr>
          <w:rFonts w:cs="Arial"/>
        </w:rPr>
        <w:t xml:space="preserve">to work with the other council’s in Oxfordshire and to support Tour </w:t>
      </w:r>
      <w:r w:rsidRPr="00B23D86">
        <w:rPr>
          <w:rStyle w:val="Firstpagetablebold"/>
          <w:rFonts w:cs="Arial"/>
          <w:b w:val="0"/>
          <w:color w:val="auto"/>
        </w:rPr>
        <w:t>OVO Energy Women’s Cycle Tour</w:t>
      </w:r>
      <w:r>
        <w:rPr>
          <w:rStyle w:val="Firstpagetablebold"/>
          <w:rFonts w:cs="Arial"/>
          <w:b w:val="0"/>
          <w:color w:val="auto"/>
        </w:rPr>
        <w:t xml:space="preserve"> for the three year period of the contract. </w:t>
      </w:r>
    </w:p>
    <w:p w:rsidR="009761C7" w:rsidRPr="009761C7" w:rsidRDefault="009761C7" w:rsidP="007B2EDB">
      <w:pPr>
        <w:pStyle w:val="ListParagraph"/>
        <w:numPr>
          <w:ilvl w:val="0"/>
          <w:numId w:val="0"/>
        </w:numPr>
        <w:autoSpaceDE w:val="0"/>
        <w:autoSpaceDN w:val="0"/>
        <w:adjustRightInd w:val="0"/>
        <w:ind w:left="644"/>
        <w:jc w:val="both"/>
        <w:rPr>
          <w:rFonts w:cs="Arial"/>
          <w:color w:val="auto"/>
        </w:rPr>
      </w:pPr>
    </w:p>
    <w:p w:rsidR="00681C83" w:rsidRPr="00183926" w:rsidRDefault="00681C83" w:rsidP="007B2EDB">
      <w:pPr>
        <w:pStyle w:val="TableText"/>
        <w:jc w:val="both"/>
        <w:rPr>
          <w:rFonts w:ascii="Arial" w:hAnsi="Arial" w:cs="Arial"/>
          <w:b/>
          <w:sz w:val="22"/>
          <w:szCs w:val="22"/>
        </w:rPr>
      </w:pPr>
      <w:r w:rsidRPr="00183926">
        <w:rPr>
          <w:rFonts w:ascii="Arial" w:hAnsi="Arial" w:cs="Arial"/>
          <w:b/>
          <w:sz w:val="22"/>
          <w:szCs w:val="22"/>
        </w:rPr>
        <w:t xml:space="preserve">Benefits </w:t>
      </w:r>
    </w:p>
    <w:p w:rsidR="00B23D86" w:rsidRPr="00B23D86" w:rsidRDefault="00B23D86" w:rsidP="007B2EDB">
      <w:pPr>
        <w:pStyle w:val="ListParagraph"/>
        <w:numPr>
          <w:ilvl w:val="0"/>
          <w:numId w:val="7"/>
        </w:numPr>
        <w:autoSpaceDE w:val="0"/>
        <w:autoSpaceDN w:val="0"/>
        <w:adjustRightInd w:val="0"/>
        <w:jc w:val="both"/>
        <w:rPr>
          <w:rFonts w:cs="Arial"/>
          <w:color w:val="auto"/>
        </w:rPr>
      </w:pPr>
      <w:r w:rsidRPr="00B23D86">
        <w:rPr>
          <w:rFonts w:cs="Arial"/>
          <w:color w:val="auto"/>
        </w:rPr>
        <w:t xml:space="preserve">The OVO Energy Women’s Tour offers an excellent way to support the council’s strategic objectives of creating Strong and Active Communities and a Vibrant and Sustainable Economy. </w:t>
      </w:r>
    </w:p>
    <w:p w:rsidR="00913B6D" w:rsidRDefault="00913B6D" w:rsidP="007B2EDB">
      <w:pPr>
        <w:pStyle w:val="ListParagraph"/>
        <w:numPr>
          <w:ilvl w:val="0"/>
          <w:numId w:val="7"/>
        </w:numPr>
        <w:tabs>
          <w:tab w:val="clear" w:pos="426"/>
        </w:tabs>
        <w:autoSpaceDE w:val="0"/>
        <w:autoSpaceDN w:val="0"/>
        <w:adjustRightInd w:val="0"/>
        <w:spacing w:after="0"/>
        <w:contextualSpacing/>
        <w:jc w:val="both"/>
        <w:rPr>
          <w:rFonts w:cs="Arial"/>
          <w:color w:val="auto"/>
        </w:rPr>
      </w:pPr>
      <w:r>
        <w:rPr>
          <w:rFonts w:cs="Arial"/>
          <w:color w:val="auto"/>
        </w:rPr>
        <w:t xml:space="preserve">The signs welcoming people to Oxford inform people that Oxford is a cycling </w:t>
      </w:r>
      <w:r w:rsidR="00760071">
        <w:rPr>
          <w:rFonts w:cs="Arial"/>
          <w:color w:val="auto"/>
        </w:rPr>
        <w:t>city;</w:t>
      </w:r>
      <w:r w:rsidR="001247C2">
        <w:rPr>
          <w:rFonts w:cs="Arial"/>
          <w:color w:val="auto"/>
        </w:rPr>
        <w:t xml:space="preserve"> Oxford</w:t>
      </w:r>
      <w:r>
        <w:rPr>
          <w:rFonts w:cs="Arial"/>
          <w:color w:val="auto"/>
        </w:rPr>
        <w:t xml:space="preserve"> is </w:t>
      </w:r>
      <w:r w:rsidR="007A3AE2">
        <w:rPr>
          <w:rFonts w:cs="Arial"/>
          <w:color w:val="auto"/>
        </w:rPr>
        <w:t xml:space="preserve">also a </w:t>
      </w:r>
      <w:r>
        <w:rPr>
          <w:rFonts w:cs="Arial"/>
          <w:color w:val="auto"/>
        </w:rPr>
        <w:t xml:space="preserve">world leader in trying to improve air quality. </w:t>
      </w:r>
      <w:r w:rsidR="007A3AE2">
        <w:rPr>
          <w:rFonts w:cs="Arial"/>
          <w:color w:val="auto"/>
        </w:rPr>
        <w:t xml:space="preserve">Evidence from previous </w:t>
      </w:r>
      <w:r w:rsidRPr="00183926">
        <w:rPr>
          <w:rFonts w:cs="Arial"/>
          <w:color w:val="auto"/>
        </w:rPr>
        <w:t>events show</w:t>
      </w:r>
      <w:r w:rsidR="00760071">
        <w:rPr>
          <w:rFonts w:cs="Arial"/>
          <w:color w:val="auto"/>
        </w:rPr>
        <w:t>s</w:t>
      </w:r>
      <w:r w:rsidRPr="00183926">
        <w:rPr>
          <w:rFonts w:cs="Arial"/>
          <w:color w:val="auto"/>
        </w:rPr>
        <w:t xml:space="preserve"> an average of 60% of those who attended the event </w:t>
      </w:r>
      <w:proofErr w:type="gramStart"/>
      <w:r w:rsidRPr="00183926">
        <w:rPr>
          <w:rFonts w:cs="Arial"/>
          <w:color w:val="auto"/>
        </w:rPr>
        <w:t>were</w:t>
      </w:r>
      <w:proofErr w:type="gramEnd"/>
      <w:r w:rsidRPr="00183926">
        <w:rPr>
          <w:rFonts w:cs="Arial"/>
          <w:color w:val="auto"/>
        </w:rPr>
        <w:t xml:space="preserve"> ‘inspired to use their bikes more’. </w:t>
      </w:r>
    </w:p>
    <w:p w:rsidR="00913B6D" w:rsidRDefault="00913B6D" w:rsidP="007B2EDB">
      <w:pPr>
        <w:pStyle w:val="NormalWeb"/>
        <w:numPr>
          <w:ilvl w:val="0"/>
          <w:numId w:val="7"/>
        </w:numPr>
        <w:jc w:val="both"/>
        <w:rPr>
          <w:rFonts w:ascii="Arial" w:hAnsi="Arial" w:cs="Arial"/>
          <w:color w:val="auto"/>
        </w:rPr>
      </w:pPr>
      <w:r w:rsidRPr="00183926">
        <w:rPr>
          <w:rFonts w:ascii="Arial" w:hAnsi="Arial" w:cs="Arial"/>
          <w:color w:val="auto"/>
        </w:rPr>
        <w:t xml:space="preserve">The Youth Sports Trust says there is a direct correlation between girls’ future life chances and the amount of physical activity they do in their younger years. A 2018 report from the Office of National Statistics showed that boys aged between </w:t>
      </w:r>
      <w:r w:rsidR="001247C2">
        <w:rPr>
          <w:rFonts w:ascii="Arial" w:hAnsi="Arial" w:cs="Arial"/>
          <w:color w:val="auto"/>
        </w:rPr>
        <w:t xml:space="preserve">eight </w:t>
      </w:r>
      <w:r w:rsidRPr="00183926">
        <w:rPr>
          <w:rFonts w:ascii="Arial" w:hAnsi="Arial" w:cs="Arial"/>
          <w:color w:val="auto"/>
        </w:rPr>
        <w:t xml:space="preserve">and 15 years old spend almost twice as much time doing sports activities as girls of the same age. </w:t>
      </w:r>
      <w:r w:rsidR="00760071">
        <w:rPr>
          <w:rFonts w:ascii="Arial" w:hAnsi="Arial" w:cs="Arial"/>
          <w:color w:val="auto"/>
        </w:rPr>
        <w:t xml:space="preserve">The Council </w:t>
      </w:r>
      <w:r w:rsidRPr="00183926">
        <w:rPr>
          <w:rFonts w:ascii="Arial" w:hAnsi="Arial" w:cs="Arial"/>
          <w:color w:val="auto"/>
        </w:rPr>
        <w:t>will be work</w:t>
      </w:r>
      <w:r>
        <w:rPr>
          <w:rFonts w:ascii="Arial" w:hAnsi="Arial" w:cs="Arial"/>
          <w:color w:val="auto"/>
        </w:rPr>
        <w:t>ing</w:t>
      </w:r>
      <w:r w:rsidRPr="00183926">
        <w:rPr>
          <w:rFonts w:ascii="Arial" w:hAnsi="Arial" w:cs="Arial"/>
          <w:color w:val="auto"/>
        </w:rPr>
        <w:t xml:space="preserve"> with public health, schools and youth groups to maximise the legacy of this three-year deal with a focus on young women and girls. </w:t>
      </w:r>
    </w:p>
    <w:p w:rsidR="00913B6D" w:rsidRPr="008D1577" w:rsidRDefault="00913B6D" w:rsidP="007B2EDB">
      <w:pPr>
        <w:pStyle w:val="ListParagraph"/>
        <w:numPr>
          <w:ilvl w:val="0"/>
          <w:numId w:val="7"/>
        </w:numPr>
        <w:tabs>
          <w:tab w:val="clear" w:pos="426"/>
        </w:tabs>
        <w:autoSpaceDE w:val="0"/>
        <w:autoSpaceDN w:val="0"/>
        <w:adjustRightInd w:val="0"/>
        <w:spacing w:after="0"/>
        <w:contextualSpacing/>
        <w:jc w:val="both"/>
        <w:rPr>
          <w:rFonts w:cs="Arial"/>
          <w:color w:val="auto"/>
        </w:rPr>
      </w:pPr>
      <w:r w:rsidRPr="008D1577">
        <w:rPr>
          <w:rFonts w:cs="Arial"/>
        </w:rPr>
        <w:lastRenderedPageBreak/>
        <w:t>The tour coincides with national cycling week which runs from 8</w:t>
      </w:r>
      <w:r w:rsidRPr="008D1577">
        <w:rPr>
          <w:rFonts w:cs="Arial"/>
          <w:vertAlign w:val="superscript"/>
        </w:rPr>
        <w:t>th</w:t>
      </w:r>
      <w:r w:rsidRPr="008D1577">
        <w:rPr>
          <w:rFonts w:cs="Arial"/>
        </w:rPr>
        <w:t xml:space="preserve"> to the 16</w:t>
      </w:r>
      <w:r w:rsidRPr="008D1577">
        <w:rPr>
          <w:rFonts w:cs="Arial"/>
          <w:vertAlign w:val="superscript"/>
        </w:rPr>
        <w:t>th</w:t>
      </w:r>
      <w:r w:rsidRPr="008D1577">
        <w:rPr>
          <w:rFonts w:cs="Arial"/>
        </w:rPr>
        <w:t xml:space="preserve"> of June. Oxford has a large cycling community and there are events planned that will be enhanced by the OVO Energy Women’s Tour</w:t>
      </w:r>
      <w:r w:rsidR="00274D7C" w:rsidRPr="008D1577">
        <w:rPr>
          <w:rFonts w:cs="Arial"/>
        </w:rPr>
        <w:t>.</w:t>
      </w:r>
    </w:p>
    <w:p w:rsidR="00913B6D" w:rsidRPr="00183926" w:rsidRDefault="00913B6D" w:rsidP="007B2EDB">
      <w:pPr>
        <w:pStyle w:val="ListParagraph"/>
        <w:numPr>
          <w:ilvl w:val="0"/>
          <w:numId w:val="7"/>
        </w:numPr>
        <w:tabs>
          <w:tab w:val="clear" w:pos="426"/>
        </w:tabs>
        <w:autoSpaceDE w:val="0"/>
        <w:autoSpaceDN w:val="0"/>
        <w:adjustRightInd w:val="0"/>
        <w:spacing w:after="0"/>
        <w:contextualSpacing/>
        <w:jc w:val="both"/>
        <w:rPr>
          <w:rFonts w:cs="Arial"/>
          <w:color w:val="auto"/>
        </w:rPr>
      </w:pPr>
      <w:r w:rsidRPr="00183926">
        <w:rPr>
          <w:rFonts w:cs="Arial"/>
          <w:color w:val="auto"/>
        </w:rPr>
        <w:t>In addition, there are volunteering opportunities around supporting the races and contributing to any ‘mini festivals’ along the route that communities may organise. The event can be used to promote opportunities for children and young people to increase the time spent on exercise and social activity that will help to foster community cohesion and support</w:t>
      </w:r>
      <w:r>
        <w:rPr>
          <w:rFonts w:cs="Arial"/>
          <w:color w:val="auto"/>
        </w:rPr>
        <w:t xml:space="preserve">s ongoing </w:t>
      </w:r>
      <w:r w:rsidRPr="00183926">
        <w:rPr>
          <w:rFonts w:cs="Arial"/>
          <w:color w:val="auto"/>
        </w:rPr>
        <w:t>partnership working.</w:t>
      </w:r>
    </w:p>
    <w:p w:rsidR="00913B6D" w:rsidRDefault="001247C2" w:rsidP="007B2EDB">
      <w:pPr>
        <w:pStyle w:val="ListParagraph"/>
        <w:numPr>
          <w:ilvl w:val="0"/>
          <w:numId w:val="7"/>
        </w:numPr>
        <w:tabs>
          <w:tab w:val="clear" w:pos="426"/>
        </w:tabs>
        <w:autoSpaceDE w:val="0"/>
        <w:autoSpaceDN w:val="0"/>
        <w:adjustRightInd w:val="0"/>
        <w:spacing w:after="0"/>
        <w:contextualSpacing/>
        <w:jc w:val="both"/>
        <w:rPr>
          <w:rFonts w:cs="Arial"/>
          <w:color w:val="auto"/>
        </w:rPr>
      </w:pPr>
      <w:r>
        <w:rPr>
          <w:rFonts w:cs="Arial"/>
          <w:color w:val="auto"/>
        </w:rPr>
        <w:t xml:space="preserve">This three </w:t>
      </w:r>
      <w:r w:rsidR="00913B6D" w:rsidRPr="00183926">
        <w:rPr>
          <w:rFonts w:cs="Arial"/>
          <w:color w:val="auto"/>
        </w:rPr>
        <w:t>year contract could act as a catalyst to promote a programme of healthy living initiatives involving schools and communities</w:t>
      </w:r>
      <w:r w:rsidR="00274D7C">
        <w:rPr>
          <w:rFonts w:cs="Arial"/>
          <w:color w:val="auto"/>
        </w:rPr>
        <w:t xml:space="preserve">. This would include activities such as pro cyclist to visits schools to give motivational talks. </w:t>
      </w:r>
    </w:p>
    <w:p w:rsidR="0030445D" w:rsidRPr="00183926" w:rsidRDefault="0030445D" w:rsidP="007B2EDB">
      <w:pPr>
        <w:pStyle w:val="NormalWeb"/>
        <w:numPr>
          <w:ilvl w:val="0"/>
          <w:numId w:val="7"/>
        </w:numPr>
        <w:jc w:val="both"/>
        <w:rPr>
          <w:rFonts w:ascii="Arial" w:hAnsi="Arial" w:cs="Arial"/>
          <w:color w:val="auto"/>
          <w:u w:val="single"/>
        </w:rPr>
      </w:pPr>
      <w:r w:rsidRPr="00183926">
        <w:rPr>
          <w:rFonts w:ascii="Arial" w:hAnsi="Arial" w:cs="Arial"/>
          <w:color w:val="auto"/>
        </w:rPr>
        <w:t xml:space="preserve">The tour achieves good media </w:t>
      </w:r>
      <w:r w:rsidR="001247C2" w:rsidRPr="00183926">
        <w:rPr>
          <w:rFonts w:ascii="Arial" w:hAnsi="Arial" w:cs="Arial"/>
          <w:color w:val="auto"/>
        </w:rPr>
        <w:t>coverage</w:t>
      </w:r>
      <w:r w:rsidR="001247C2">
        <w:rPr>
          <w:rFonts w:ascii="Arial" w:hAnsi="Arial" w:cs="Arial"/>
          <w:color w:val="auto"/>
        </w:rPr>
        <w:t xml:space="preserve">; </w:t>
      </w:r>
      <w:r w:rsidRPr="00183926">
        <w:rPr>
          <w:rFonts w:ascii="Arial" w:hAnsi="Arial" w:cs="Arial"/>
          <w:color w:val="auto"/>
        </w:rPr>
        <w:t>in 2018 the</w:t>
      </w:r>
      <w:r w:rsidR="00A50A76">
        <w:rPr>
          <w:rFonts w:ascii="Arial" w:hAnsi="Arial" w:cs="Arial"/>
          <w:color w:val="auto"/>
        </w:rPr>
        <w:t xml:space="preserve">re were </w:t>
      </w:r>
      <w:r w:rsidRPr="00183926">
        <w:rPr>
          <w:rFonts w:ascii="Arial" w:hAnsi="Arial" w:cs="Arial"/>
          <w:color w:val="auto"/>
        </w:rPr>
        <w:t xml:space="preserve">1,240,000 viewers. There is extensive media coverage including national newspapers and cycling magazines. The teams have their own social media channels further increasing the reach of the tour. </w:t>
      </w:r>
    </w:p>
    <w:p w:rsidR="00DB2B35" w:rsidRPr="00183926" w:rsidRDefault="00DB2B35" w:rsidP="007B2EDB">
      <w:pPr>
        <w:pStyle w:val="NormalWeb"/>
        <w:numPr>
          <w:ilvl w:val="0"/>
          <w:numId w:val="7"/>
        </w:numPr>
        <w:jc w:val="both"/>
        <w:rPr>
          <w:rFonts w:ascii="Arial" w:hAnsi="Arial" w:cs="Arial"/>
          <w:color w:val="auto"/>
        </w:rPr>
      </w:pPr>
      <w:r w:rsidRPr="00183926">
        <w:rPr>
          <w:rFonts w:ascii="Arial" w:hAnsi="Arial" w:cs="Arial"/>
          <w:color w:val="auto"/>
        </w:rPr>
        <w:t xml:space="preserve">Tourism is an important element of employment and economic prosperity for Oxfordshire. The media coverage and the attendance of people on the day of the event will have short, medium and long-term benefits for tourism in Oxfordshire. This will support businesses and employment. </w:t>
      </w:r>
    </w:p>
    <w:p w:rsidR="00DB2B35" w:rsidRPr="009761C7" w:rsidRDefault="00DB2B35" w:rsidP="007B2EDB">
      <w:pPr>
        <w:pStyle w:val="TableText"/>
        <w:numPr>
          <w:ilvl w:val="0"/>
          <w:numId w:val="7"/>
        </w:numPr>
        <w:jc w:val="both"/>
        <w:rPr>
          <w:rFonts w:ascii="Arial" w:hAnsi="Arial" w:cs="Arial"/>
          <w:sz w:val="24"/>
        </w:rPr>
      </w:pPr>
      <w:r w:rsidRPr="009761C7">
        <w:rPr>
          <w:rFonts w:ascii="Arial" w:hAnsi="Arial" w:cs="Arial"/>
          <w:sz w:val="24"/>
        </w:rPr>
        <w:t xml:space="preserve">The economic benefits of hosting the women’s tour are analysed by </w:t>
      </w:r>
      <w:proofErr w:type="spellStart"/>
      <w:r w:rsidRPr="009761C7">
        <w:rPr>
          <w:rFonts w:ascii="Arial" w:hAnsi="Arial" w:cs="Arial"/>
          <w:sz w:val="24"/>
        </w:rPr>
        <w:t>SweetSpot</w:t>
      </w:r>
      <w:proofErr w:type="spellEnd"/>
      <w:r w:rsidRPr="009761C7">
        <w:rPr>
          <w:rFonts w:ascii="Arial" w:hAnsi="Arial" w:cs="Arial"/>
          <w:sz w:val="24"/>
        </w:rPr>
        <w:t xml:space="preserve"> for each stage.</w:t>
      </w:r>
      <w:r w:rsidR="009761C7" w:rsidRPr="009761C7">
        <w:rPr>
          <w:rFonts w:ascii="Arial" w:hAnsi="Arial" w:cs="Arial"/>
          <w:color w:val="000000"/>
          <w:sz w:val="24"/>
          <w:lang w:val="en-US"/>
        </w:rPr>
        <w:t xml:space="preserve"> </w:t>
      </w:r>
      <w:proofErr w:type="spellStart"/>
      <w:r w:rsidR="009761C7" w:rsidRPr="009761C7">
        <w:rPr>
          <w:rFonts w:ascii="Arial" w:hAnsi="Arial" w:cs="Arial"/>
          <w:color w:val="000000"/>
          <w:sz w:val="24"/>
          <w:lang w:val="en-US"/>
        </w:rPr>
        <w:t>SweetSpot</w:t>
      </w:r>
      <w:proofErr w:type="spellEnd"/>
      <w:r w:rsidR="009761C7" w:rsidRPr="009761C7">
        <w:rPr>
          <w:rFonts w:ascii="Arial" w:hAnsi="Arial" w:cs="Arial"/>
          <w:color w:val="000000"/>
          <w:sz w:val="24"/>
          <w:lang w:val="en-US"/>
        </w:rPr>
        <w:t xml:space="preserve"> estimate the economic benefits</w:t>
      </w:r>
      <w:r w:rsidR="00760071">
        <w:rPr>
          <w:rFonts w:ascii="Arial" w:hAnsi="Arial" w:cs="Arial"/>
          <w:color w:val="000000"/>
          <w:sz w:val="24"/>
          <w:lang w:val="en-US"/>
        </w:rPr>
        <w:t xml:space="preserve"> of the 2018 OVO Energy Women’s</w:t>
      </w:r>
      <w:r w:rsidR="009761C7" w:rsidRPr="009761C7">
        <w:rPr>
          <w:rFonts w:ascii="Arial" w:hAnsi="Arial" w:cs="Arial"/>
          <w:color w:val="000000"/>
          <w:sz w:val="24"/>
          <w:lang w:val="en-US"/>
        </w:rPr>
        <w:t xml:space="preserve"> Cycle Tour to be £</w:t>
      </w:r>
      <w:r w:rsidR="009761C7">
        <w:rPr>
          <w:rFonts w:ascii="Arial" w:hAnsi="Arial" w:cs="Arial"/>
          <w:color w:val="000000"/>
          <w:sz w:val="24"/>
          <w:lang w:val="en-US"/>
        </w:rPr>
        <w:t xml:space="preserve">1.2 </w:t>
      </w:r>
      <w:r w:rsidR="009761C7" w:rsidRPr="009761C7">
        <w:rPr>
          <w:rFonts w:ascii="Arial" w:hAnsi="Arial" w:cs="Arial"/>
          <w:color w:val="000000"/>
          <w:sz w:val="24"/>
          <w:lang w:val="en-US"/>
        </w:rPr>
        <w:t>million</w:t>
      </w:r>
      <w:r w:rsidR="009761C7">
        <w:rPr>
          <w:rFonts w:ascii="Arial" w:hAnsi="Arial" w:cs="Arial"/>
          <w:color w:val="000000"/>
          <w:sz w:val="24"/>
          <w:lang w:val="en-US"/>
        </w:rPr>
        <w:t xml:space="preserve"> </w:t>
      </w:r>
      <w:r w:rsidR="00DC5722">
        <w:rPr>
          <w:rFonts w:ascii="Arial" w:hAnsi="Arial" w:cs="Arial"/>
          <w:color w:val="000000"/>
          <w:sz w:val="24"/>
          <w:lang w:val="en-US"/>
        </w:rPr>
        <w:t xml:space="preserve">for each </w:t>
      </w:r>
      <w:r w:rsidR="009761C7">
        <w:rPr>
          <w:rFonts w:ascii="Arial" w:hAnsi="Arial" w:cs="Arial"/>
          <w:color w:val="000000"/>
          <w:sz w:val="24"/>
          <w:lang w:val="en-US"/>
        </w:rPr>
        <w:t>stage</w:t>
      </w:r>
      <w:r w:rsidR="009761C7" w:rsidRPr="009761C7">
        <w:rPr>
          <w:rFonts w:ascii="Arial" w:hAnsi="Arial" w:cs="Arial"/>
          <w:color w:val="000000"/>
          <w:sz w:val="24"/>
          <w:lang w:val="en-US"/>
        </w:rPr>
        <w:t xml:space="preserve">. </w:t>
      </w:r>
      <w:r w:rsidRPr="009761C7">
        <w:rPr>
          <w:rFonts w:ascii="Arial" w:hAnsi="Arial" w:cs="Arial"/>
          <w:sz w:val="24"/>
        </w:rPr>
        <w:t xml:space="preserve">The financial benefits are delivered through overnight stays, spending in the local area and attraction of visitors from outside of the area. </w:t>
      </w:r>
    </w:p>
    <w:p w:rsidR="00DB2B35" w:rsidRPr="00183926" w:rsidRDefault="00DB2B35" w:rsidP="007B2EDB">
      <w:pPr>
        <w:autoSpaceDE w:val="0"/>
        <w:autoSpaceDN w:val="0"/>
        <w:adjustRightInd w:val="0"/>
        <w:spacing w:after="0"/>
        <w:jc w:val="both"/>
        <w:rPr>
          <w:rFonts w:cs="Arial"/>
          <w:color w:val="auto"/>
        </w:rPr>
      </w:pPr>
    </w:p>
    <w:p w:rsidR="00DB2B35" w:rsidRPr="00183926" w:rsidRDefault="00DB2B35" w:rsidP="007B2EDB">
      <w:pPr>
        <w:autoSpaceDE w:val="0"/>
        <w:autoSpaceDN w:val="0"/>
        <w:adjustRightInd w:val="0"/>
        <w:spacing w:after="0"/>
        <w:jc w:val="both"/>
        <w:rPr>
          <w:rFonts w:cs="Arial"/>
          <w:b/>
          <w:bCs/>
          <w:color w:val="auto"/>
        </w:rPr>
      </w:pPr>
      <w:r w:rsidRPr="00183926">
        <w:rPr>
          <w:rFonts w:cs="Arial"/>
          <w:b/>
          <w:bCs/>
          <w:color w:val="auto"/>
        </w:rPr>
        <w:t>Other Options Considered</w:t>
      </w:r>
    </w:p>
    <w:p w:rsidR="00DB2B35" w:rsidRPr="00183926" w:rsidRDefault="00DB2B35" w:rsidP="007B2EDB">
      <w:pPr>
        <w:autoSpaceDE w:val="0"/>
        <w:autoSpaceDN w:val="0"/>
        <w:adjustRightInd w:val="0"/>
        <w:spacing w:after="0"/>
        <w:jc w:val="both"/>
        <w:rPr>
          <w:rFonts w:cs="Arial"/>
          <w:b/>
          <w:bCs/>
          <w:color w:val="auto"/>
        </w:rPr>
      </w:pPr>
    </w:p>
    <w:p w:rsidR="00DB2B35" w:rsidRPr="00DC5722" w:rsidRDefault="00DC5722" w:rsidP="007B2EDB">
      <w:pPr>
        <w:pStyle w:val="ListParagraph"/>
        <w:numPr>
          <w:ilvl w:val="0"/>
          <w:numId w:val="7"/>
        </w:numPr>
        <w:jc w:val="both"/>
        <w:rPr>
          <w:rFonts w:cs="Arial"/>
          <w:color w:val="auto"/>
        </w:rPr>
      </w:pPr>
      <w:r w:rsidRPr="00DC5722">
        <w:rPr>
          <w:rFonts w:cs="Arial"/>
          <w:color w:val="auto"/>
        </w:rPr>
        <w:t xml:space="preserve">The </w:t>
      </w:r>
      <w:r w:rsidR="00DB2B35" w:rsidRPr="00DC5722">
        <w:rPr>
          <w:rFonts w:cs="Arial"/>
          <w:color w:val="auto"/>
        </w:rPr>
        <w:t xml:space="preserve">alternative option </w:t>
      </w:r>
      <w:r w:rsidRPr="00DC5722">
        <w:rPr>
          <w:rFonts w:cs="Arial"/>
          <w:color w:val="auto"/>
        </w:rPr>
        <w:t xml:space="preserve">would be to </w:t>
      </w:r>
      <w:r w:rsidR="00DB2B35" w:rsidRPr="00DC5722">
        <w:rPr>
          <w:rFonts w:cs="Arial"/>
          <w:color w:val="auto"/>
        </w:rPr>
        <w:t xml:space="preserve">decline the opportunity to be involved. This option is not recommended because it would fail to bring the benefits outlined in this report to the residents and businesses. </w:t>
      </w:r>
    </w:p>
    <w:p w:rsidR="0040736F" w:rsidRPr="00183926" w:rsidRDefault="002329CF" w:rsidP="007B2EDB">
      <w:pPr>
        <w:pStyle w:val="Heading1"/>
        <w:jc w:val="both"/>
        <w:rPr>
          <w:rFonts w:cs="Arial"/>
          <w:color w:val="auto"/>
        </w:rPr>
      </w:pPr>
      <w:r w:rsidRPr="00183926">
        <w:rPr>
          <w:rFonts w:cs="Arial"/>
          <w:color w:val="auto"/>
        </w:rPr>
        <w:t>Financial implications</w:t>
      </w:r>
    </w:p>
    <w:p w:rsidR="00DB2B35" w:rsidRPr="00183926" w:rsidRDefault="00DB2B35" w:rsidP="007B2EDB">
      <w:pPr>
        <w:pStyle w:val="NormalWeb"/>
        <w:numPr>
          <w:ilvl w:val="0"/>
          <w:numId w:val="7"/>
        </w:numPr>
        <w:jc w:val="both"/>
        <w:rPr>
          <w:rFonts w:ascii="Arial" w:hAnsi="Arial" w:cs="Arial"/>
          <w:color w:val="auto"/>
        </w:rPr>
      </w:pPr>
      <w:r w:rsidRPr="00183926">
        <w:rPr>
          <w:rFonts w:ascii="Arial" w:hAnsi="Arial" w:cs="Arial"/>
          <w:color w:val="auto"/>
        </w:rPr>
        <w:t>The cost of hosting the stage in 2019 is £175,000. This includes some additional costs for the start and finish locations as well as traffic management</w:t>
      </w:r>
      <w:r w:rsidR="00760071">
        <w:rPr>
          <w:rFonts w:ascii="Arial" w:hAnsi="Arial" w:cs="Arial"/>
          <w:color w:val="auto"/>
        </w:rPr>
        <w:t xml:space="preserve"> costs for the whole stage. The</w:t>
      </w:r>
      <w:r w:rsidRPr="00183926">
        <w:rPr>
          <w:rFonts w:ascii="Arial" w:hAnsi="Arial" w:cs="Arial"/>
          <w:color w:val="auto"/>
        </w:rPr>
        <w:t xml:space="preserve"> annual cost will be shared equally between the six local authorities.  </w:t>
      </w:r>
    </w:p>
    <w:p w:rsidR="0030445D" w:rsidRPr="00183926" w:rsidRDefault="0030445D" w:rsidP="007B2EDB">
      <w:pPr>
        <w:pStyle w:val="Heading1"/>
        <w:numPr>
          <w:ilvl w:val="0"/>
          <w:numId w:val="7"/>
        </w:numPr>
        <w:jc w:val="both"/>
        <w:rPr>
          <w:rStyle w:val="bumpedfont15"/>
          <w:rFonts w:cs="Arial"/>
          <w:b w:val="0"/>
          <w:color w:val="auto"/>
        </w:rPr>
      </w:pPr>
      <w:r w:rsidRPr="00183926">
        <w:rPr>
          <w:rStyle w:val="bumpedfont15"/>
          <w:rFonts w:cs="Arial"/>
          <w:b w:val="0"/>
          <w:color w:val="auto"/>
        </w:rPr>
        <w:t xml:space="preserve">Oxford City Council’s share of the event for 2019 will be £30,000. For the 2019 event </w:t>
      </w:r>
      <w:r w:rsidR="00760071">
        <w:rPr>
          <w:rStyle w:val="bumpedfont15"/>
          <w:rFonts w:cs="Arial"/>
          <w:b w:val="0"/>
          <w:color w:val="auto"/>
        </w:rPr>
        <w:t>the Council’s</w:t>
      </w:r>
      <w:r w:rsidRPr="00183926">
        <w:rPr>
          <w:rStyle w:val="bumpedfont15"/>
          <w:rFonts w:cs="Arial"/>
          <w:b w:val="0"/>
          <w:color w:val="auto"/>
        </w:rPr>
        <w:t xml:space="preserve"> share will be funded from an appropriate reserve</w:t>
      </w:r>
      <w:r w:rsidR="00FF3AD7">
        <w:rPr>
          <w:rStyle w:val="bumpedfont15"/>
          <w:rFonts w:cs="Arial"/>
          <w:b w:val="0"/>
          <w:color w:val="auto"/>
        </w:rPr>
        <w:t xml:space="preserve"> subject </w:t>
      </w:r>
      <w:proofErr w:type="gramStart"/>
      <w:r w:rsidR="00FF3AD7">
        <w:rPr>
          <w:rStyle w:val="bumpedfont15"/>
          <w:rFonts w:cs="Arial"/>
          <w:b w:val="0"/>
          <w:color w:val="auto"/>
        </w:rPr>
        <w:t xml:space="preserve">to </w:t>
      </w:r>
      <w:r w:rsidR="008D1577">
        <w:rPr>
          <w:rStyle w:val="bumpedfont15"/>
          <w:rFonts w:cs="Arial"/>
          <w:b w:val="0"/>
          <w:color w:val="auto"/>
        </w:rPr>
        <w:t xml:space="preserve"> Cabinet</w:t>
      </w:r>
      <w:proofErr w:type="gramEnd"/>
      <w:r w:rsidR="008D1577">
        <w:rPr>
          <w:rStyle w:val="bumpedfont15"/>
          <w:rFonts w:cs="Arial"/>
          <w:b w:val="0"/>
          <w:color w:val="auto"/>
        </w:rPr>
        <w:t xml:space="preserve"> </w:t>
      </w:r>
      <w:r w:rsidR="00FF3AD7">
        <w:rPr>
          <w:rStyle w:val="bumpedfont15"/>
          <w:rFonts w:cs="Arial"/>
          <w:b w:val="0"/>
          <w:color w:val="auto"/>
        </w:rPr>
        <w:t>and Council approval</w:t>
      </w:r>
      <w:r w:rsidRPr="00183926">
        <w:rPr>
          <w:rStyle w:val="bumpedfont15"/>
          <w:rFonts w:cs="Arial"/>
          <w:b w:val="0"/>
          <w:color w:val="auto"/>
        </w:rPr>
        <w:t xml:space="preserve">.  For the subsequent years funding requirements will be </w:t>
      </w:r>
      <w:r w:rsidR="00FF3AD7">
        <w:rPr>
          <w:rStyle w:val="bumpedfont15"/>
          <w:rFonts w:cs="Arial"/>
          <w:b w:val="0"/>
          <w:color w:val="auto"/>
        </w:rPr>
        <w:t xml:space="preserve">considered </w:t>
      </w:r>
      <w:r w:rsidRPr="00183926">
        <w:rPr>
          <w:rStyle w:val="bumpedfont15"/>
          <w:rFonts w:cs="Arial"/>
          <w:b w:val="0"/>
          <w:color w:val="auto"/>
        </w:rPr>
        <w:t>within the overall budget setting process. However, sponsorship will be sought for the event, which, if secured, would offset the costs.</w:t>
      </w:r>
    </w:p>
    <w:p w:rsidR="00E85B88" w:rsidRPr="00183926" w:rsidRDefault="00E85B88" w:rsidP="007B2EDB">
      <w:pPr>
        <w:pStyle w:val="TableText"/>
        <w:numPr>
          <w:ilvl w:val="0"/>
          <w:numId w:val="7"/>
        </w:numPr>
        <w:jc w:val="both"/>
        <w:rPr>
          <w:rFonts w:ascii="Arial" w:hAnsi="Arial" w:cs="Arial"/>
          <w:sz w:val="24"/>
        </w:rPr>
      </w:pPr>
      <w:r w:rsidRPr="00183926">
        <w:rPr>
          <w:rFonts w:ascii="Arial" w:hAnsi="Arial" w:cs="Arial"/>
          <w:sz w:val="24"/>
        </w:rPr>
        <w:t xml:space="preserve">All sponsorship achieved will be used to reduce the hosting costs evenly across the county, city and district partners. </w:t>
      </w:r>
    </w:p>
    <w:p w:rsidR="00DB2B35" w:rsidRDefault="00DB2B35" w:rsidP="007B2EDB">
      <w:pPr>
        <w:pStyle w:val="ListParagraph"/>
        <w:numPr>
          <w:ilvl w:val="0"/>
          <w:numId w:val="7"/>
        </w:numPr>
        <w:jc w:val="both"/>
        <w:rPr>
          <w:color w:val="auto"/>
        </w:rPr>
      </w:pPr>
      <w:r w:rsidRPr="00DC5722">
        <w:rPr>
          <w:color w:val="auto"/>
        </w:rPr>
        <w:lastRenderedPageBreak/>
        <w:t xml:space="preserve">There are likely to be additional </w:t>
      </w:r>
      <w:r w:rsidR="00A50A76">
        <w:rPr>
          <w:color w:val="auto"/>
        </w:rPr>
        <w:t xml:space="preserve">costs </w:t>
      </w:r>
      <w:r w:rsidRPr="00DC5722">
        <w:rPr>
          <w:color w:val="auto"/>
        </w:rPr>
        <w:t>in 2020 and 2021 when the tour starts and finishes in Oxfordshire. These costs will be worked through once the year two and year three routes are</w:t>
      </w:r>
      <w:r w:rsidR="00760071">
        <w:rPr>
          <w:color w:val="auto"/>
        </w:rPr>
        <w:t xml:space="preserve"> finalised and a budget bid will</w:t>
      </w:r>
      <w:r w:rsidRPr="00DC5722">
        <w:rPr>
          <w:color w:val="auto"/>
        </w:rPr>
        <w:t xml:space="preserve"> be made in line with the council’s budget setting process.  </w:t>
      </w:r>
    </w:p>
    <w:p w:rsidR="00274D7C" w:rsidRDefault="00274D7C" w:rsidP="007B2EDB">
      <w:pPr>
        <w:pStyle w:val="ListParagraph"/>
        <w:numPr>
          <w:ilvl w:val="0"/>
          <w:numId w:val="0"/>
        </w:numPr>
        <w:ind w:left="644"/>
        <w:jc w:val="both"/>
        <w:rPr>
          <w:color w:val="auto"/>
        </w:rPr>
      </w:pPr>
    </w:p>
    <w:p w:rsidR="0040736F" w:rsidRPr="00183926" w:rsidRDefault="00DA614B" w:rsidP="007B2EDB">
      <w:pPr>
        <w:pStyle w:val="Heading1"/>
        <w:jc w:val="both"/>
        <w:rPr>
          <w:rFonts w:cs="Arial"/>
          <w:color w:val="auto"/>
        </w:rPr>
      </w:pPr>
      <w:r w:rsidRPr="00183926">
        <w:rPr>
          <w:rFonts w:cs="Arial"/>
          <w:color w:val="auto"/>
        </w:rPr>
        <w:t>Legal issues</w:t>
      </w:r>
    </w:p>
    <w:p w:rsidR="000D2E3B" w:rsidRPr="00760071" w:rsidRDefault="000D2E3B" w:rsidP="007B2EDB">
      <w:pPr>
        <w:pStyle w:val="ListParagraph"/>
        <w:numPr>
          <w:ilvl w:val="0"/>
          <w:numId w:val="7"/>
        </w:numPr>
        <w:jc w:val="both"/>
        <w:rPr>
          <w:bCs/>
          <w:color w:val="auto"/>
        </w:rPr>
      </w:pPr>
      <w:r w:rsidRPr="00DC5722">
        <w:rPr>
          <w:rFonts w:cs="Arial"/>
          <w:color w:val="auto"/>
        </w:rPr>
        <w:t>Th</w:t>
      </w:r>
      <w:r w:rsidR="00DC5722">
        <w:rPr>
          <w:rFonts w:cs="Arial"/>
          <w:color w:val="auto"/>
        </w:rPr>
        <w:t>e event i</w:t>
      </w:r>
      <w:r w:rsidRPr="00DC5722">
        <w:rPr>
          <w:rFonts w:cs="Arial"/>
          <w:color w:val="auto"/>
        </w:rPr>
        <w:t>s being led by Oxfordshire County Council</w:t>
      </w:r>
      <w:r w:rsidR="00DC5722">
        <w:rPr>
          <w:rFonts w:cs="Arial"/>
          <w:color w:val="auto"/>
        </w:rPr>
        <w:t xml:space="preserve"> </w:t>
      </w:r>
      <w:r w:rsidRPr="00DC5722">
        <w:rPr>
          <w:rFonts w:cs="Arial"/>
          <w:color w:val="auto"/>
        </w:rPr>
        <w:t xml:space="preserve">who will contract with </w:t>
      </w:r>
      <w:proofErr w:type="spellStart"/>
      <w:r w:rsidRPr="00DC5722">
        <w:rPr>
          <w:rFonts w:cs="Arial"/>
          <w:color w:val="auto"/>
        </w:rPr>
        <w:t>SweetSpot</w:t>
      </w:r>
      <w:proofErr w:type="spellEnd"/>
      <w:r w:rsidRPr="00DC5722">
        <w:rPr>
          <w:rFonts w:cs="Arial"/>
          <w:color w:val="auto"/>
        </w:rPr>
        <w:t xml:space="preserve">. The contract between </w:t>
      </w:r>
      <w:r w:rsidR="00DC5722" w:rsidRPr="00DC5722">
        <w:rPr>
          <w:rFonts w:cs="Arial"/>
          <w:color w:val="auto"/>
        </w:rPr>
        <w:t>Oxfordshire County Council</w:t>
      </w:r>
      <w:r w:rsidR="00DC5722">
        <w:rPr>
          <w:rFonts w:cs="Arial"/>
          <w:color w:val="auto"/>
        </w:rPr>
        <w:t xml:space="preserve"> </w:t>
      </w:r>
      <w:r w:rsidRPr="00DC5722">
        <w:rPr>
          <w:rFonts w:cs="Arial"/>
          <w:color w:val="auto"/>
        </w:rPr>
        <w:t xml:space="preserve">and </w:t>
      </w:r>
      <w:proofErr w:type="spellStart"/>
      <w:r w:rsidRPr="00DC5722">
        <w:rPr>
          <w:rFonts w:cs="Arial"/>
          <w:color w:val="auto"/>
        </w:rPr>
        <w:t>SweetSpot</w:t>
      </w:r>
      <w:proofErr w:type="spellEnd"/>
      <w:r w:rsidRPr="00DC5722">
        <w:rPr>
          <w:rFonts w:cs="Arial"/>
          <w:color w:val="auto"/>
        </w:rPr>
        <w:t xml:space="preserve"> is in the process of being finalised. </w:t>
      </w:r>
      <w:r w:rsidR="0030445D" w:rsidRPr="00DC5722">
        <w:rPr>
          <w:rFonts w:cs="Arial"/>
          <w:color w:val="auto"/>
        </w:rPr>
        <w:t>Oxford</w:t>
      </w:r>
      <w:r w:rsidRPr="00DC5722">
        <w:rPr>
          <w:rFonts w:cs="Arial"/>
          <w:color w:val="auto"/>
        </w:rPr>
        <w:t xml:space="preserve"> City Council will need to enter </w:t>
      </w:r>
      <w:r w:rsidR="00760071">
        <w:rPr>
          <w:rFonts w:cs="Arial"/>
          <w:color w:val="auto"/>
        </w:rPr>
        <w:t xml:space="preserve">into </w:t>
      </w:r>
      <w:r w:rsidRPr="00DC5722">
        <w:rPr>
          <w:rFonts w:cs="Arial"/>
          <w:color w:val="auto"/>
        </w:rPr>
        <w:t xml:space="preserve">a funding agreement with the County Council.  </w:t>
      </w:r>
    </w:p>
    <w:p w:rsidR="00760071" w:rsidRPr="00760071" w:rsidRDefault="00760071" w:rsidP="00760071">
      <w:pPr>
        <w:pStyle w:val="ListParagraph"/>
        <w:numPr>
          <w:ilvl w:val="0"/>
          <w:numId w:val="7"/>
        </w:numPr>
        <w:jc w:val="both"/>
        <w:rPr>
          <w:bCs/>
          <w:color w:val="auto"/>
        </w:rPr>
      </w:pPr>
      <w:r w:rsidRPr="00760071">
        <w:rPr>
          <w:rFonts w:cs="Arial"/>
          <w:color w:val="auto"/>
        </w:rPr>
        <w:t>To contribute resources to hosting a stage of the OVO Energy Women’s Tour in 2019, 2020 and 2021 Oxford City Council intends to use the general power of competence. The general power of competence was provided for in section 1 of the Localism Act 2011 Act. It gives councils confidence in their legal capacity to act for communities and is designed to allow local authorities to innovate. The general power of competence was provided on the basis that local authorities are able to do anything that an individual with full capacity might do, other than that which is specifically prohibited, with some limitations.</w:t>
      </w:r>
    </w:p>
    <w:p w:rsidR="00760071" w:rsidRDefault="00760071" w:rsidP="007B2EDB">
      <w:pPr>
        <w:ind w:left="426" w:hanging="426"/>
        <w:jc w:val="both"/>
        <w:rPr>
          <w:rFonts w:cs="Arial"/>
          <w:b/>
          <w:color w:val="auto"/>
        </w:rPr>
      </w:pPr>
    </w:p>
    <w:p w:rsidR="00BD0CE0" w:rsidRPr="00183926" w:rsidRDefault="00BD0CE0" w:rsidP="007B2EDB">
      <w:pPr>
        <w:ind w:left="426" w:hanging="426"/>
        <w:jc w:val="both"/>
        <w:rPr>
          <w:rFonts w:cs="Arial"/>
          <w:b/>
          <w:color w:val="auto"/>
        </w:rPr>
      </w:pPr>
      <w:r w:rsidRPr="00183926">
        <w:rPr>
          <w:rFonts w:cs="Arial"/>
          <w:b/>
          <w:color w:val="auto"/>
        </w:rPr>
        <w:t>Risk</w:t>
      </w:r>
    </w:p>
    <w:p w:rsidR="0030445D" w:rsidRPr="00DC5722" w:rsidRDefault="0030445D" w:rsidP="007B2EDB">
      <w:pPr>
        <w:pStyle w:val="ListParagraph"/>
        <w:numPr>
          <w:ilvl w:val="0"/>
          <w:numId w:val="7"/>
        </w:numPr>
        <w:autoSpaceDE w:val="0"/>
        <w:autoSpaceDN w:val="0"/>
        <w:adjustRightInd w:val="0"/>
        <w:jc w:val="both"/>
        <w:rPr>
          <w:color w:val="auto"/>
        </w:rPr>
      </w:pPr>
      <w:r w:rsidRPr="00DC5722">
        <w:rPr>
          <w:rFonts w:cs="Arial"/>
          <w:bCs/>
          <w:color w:val="auto"/>
        </w:rPr>
        <w:t>An event specific Safety Advisory Group will be established to consider the detailed planning and risk mitigation measures. There are currently no identified high risks for this event.</w:t>
      </w:r>
      <w:r w:rsidRPr="00DC5722">
        <w:rPr>
          <w:color w:val="auto"/>
        </w:rPr>
        <w:t xml:space="preserve"> A risk register is included as appendix one.</w:t>
      </w:r>
    </w:p>
    <w:p w:rsidR="006F701C" w:rsidRPr="00183926" w:rsidRDefault="006F701C" w:rsidP="007B2EDB">
      <w:pPr>
        <w:autoSpaceDE w:val="0"/>
        <w:autoSpaceDN w:val="0"/>
        <w:adjustRightInd w:val="0"/>
        <w:spacing w:after="0"/>
        <w:jc w:val="both"/>
        <w:rPr>
          <w:rFonts w:cs="Arial"/>
          <w:color w:val="auto"/>
        </w:rPr>
      </w:pPr>
    </w:p>
    <w:p w:rsidR="002329CF" w:rsidRPr="00183926" w:rsidRDefault="002329CF" w:rsidP="007B2EDB">
      <w:pPr>
        <w:pStyle w:val="Heading1"/>
        <w:jc w:val="both"/>
        <w:rPr>
          <w:rFonts w:cs="Arial"/>
          <w:color w:val="auto"/>
        </w:rPr>
      </w:pPr>
      <w:r w:rsidRPr="00183926">
        <w:rPr>
          <w:rFonts w:cs="Arial"/>
          <w:color w:val="auto"/>
        </w:rPr>
        <w:t xml:space="preserve">Equalities impact </w:t>
      </w:r>
    </w:p>
    <w:p w:rsidR="007D618F" w:rsidRPr="00DC5722" w:rsidRDefault="00DB2B35" w:rsidP="007B2EDB">
      <w:pPr>
        <w:pStyle w:val="ListParagraph"/>
        <w:numPr>
          <w:ilvl w:val="0"/>
          <w:numId w:val="7"/>
        </w:numPr>
        <w:autoSpaceDE w:val="0"/>
        <w:autoSpaceDN w:val="0"/>
        <w:adjustRightInd w:val="0"/>
        <w:spacing w:after="0"/>
        <w:jc w:val="both"/>
        <w:rPr>
          <w:rFonts w:cs="Arial"/>
          <w:color w:val="auto"/>
          <w:szCs w:val="28"/>
          <w:lang w:val="en-US"/>
        </w:rPr>
      </w:pPr>
      <w:r w:rsidRPr="00DC5722">
        <w:rPr>
          <w:rFonts w:cs="Arial"/>
          <w:color w:val="auto"/>
          <w:szCs w:val="28"/>
          <w:lang w:val="en-US"/>
        </w:rPr>
        <w:t>An equalities impact assessment will be completed during the planning stages to consider potential implications for people with protected characteristics. This would include consideration regarding accessibility during any road or pavement closures and engaging with a range of community groups who may benefit from being involved with the event and any ancillary activities.</w:t>
      </w:r>
    </w:p>
    <w:p w:rsidR="002329CF" w:rsidRPr="00183926" w:rsidRDefault="002329CF" w:rsidP="007B2EDB">
      <w:pPr>
        <w:jc w:val="both"/>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183926" w:rsidRPr="00183926"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83926" w:rsidRDefault="00E87F7A" w:rsidP="007B2EDB">
            <w:pPr>
              <w:jc w:val="both"/>
              <w:rPr>
                <w:rFonts w:cs="Arial"/>
                <w:b/>
                <w:color w:val="auto"/>
              </w:rPr>
            </w:pPr>
            <w:r w:rsidRPr="00183926">
              <w:rPr>
                <w:rFonts w:cs="Arial"/>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83926" w:rsidRDefault="00760071" w:rsidP="007B2EDB">
            <w:pPr>
              <w:jc w:val="both"/>
              <w:rPr>
                <w:rFonts w:cs="Arial"/>
                <w:color w:val="auto"/>
              </w:rPr>
            </w:pPr>
            <w:r>
              <w:rPr>
                <w:rFonts w:cs="Arial"/>
                <w:color w:val="auto"/>
              </w:rPr>
              <w:t>Ian Brooke</w:t>
            </w:r>
          </w:p>
        </w:tc>
      </w:tr>
      <w:tr w:rsidR="00183926" w:rsidRPr="00183926"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83926" w:rsidRDefault="00E87F7A" w:rsidP="007B2EDB">
            <w:pPr>
              <w:jc w:val="both"/>
              <w:rPr>
                <w:rFonts w:cs="Arial"/>
                <w:color w:val="auto"/>
              </w:rPr>
            </w:pPr>
            <w:r w:rsidRPr="00183926">
              <w:rPr>
                <w:rFonts w:cs="Arial"/>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183926" w:rsidRDefault="00BD0CE0" w:rsidP="007B2EDB">
            <w:pPr>
              <w:jc w:val="both"/>
              <w:rPr>
                <w:rFonts w:cs="Arial"/>
                <w:color w:val="auto"/>
              </w:rPr>
            </w:pPr>
            <w:r w:rsidRPr="00183926">
              <w:rPr>
                <w:rFonts w:cs="Arial"/>
                <w:color w:val="auto"/>
              </w:rPr>
              <w:t xml:space="preserve">Head of Community Services </w:t>
            </w:r>
          </w:p>
        </w:tc>
      </w:tr>
      <w:tr w:rsidR="00183926" w:rsidRPr="00183926" w:rsidTr="00A46E98">
        <w:trPr>
          <w:cantSplit/>
          <w:trHeight w:val="396"/>
        </w:trPr>
        <w:tc>
          <w:tcPr>
            <w:tcW w:w="3969" w:type="dxa"/>
            <w:tcBorders>
              <w:top w:val="nil"/>
              <w:left w:val="single" w:sz="8" w:space="0" w:color="000000"/>
              <w:bottom w:val="nil"/>
              <w:right w:val="nil"/>
            </w:tcBorders>
            <w:shd w:val="clear" w:color="auto" w:fill="auto"/>
          </w:tcPr>
          <w:p w:rsidR="00E87F7A" w:rsidRPr="00183926" w:rsidRDefault="00E87F7A" w:rsidP="007B2EDB">
            <w:pPr>
              <w:jc w:val="both"/>
              <w:rPr>
                <w:rFonts w:cs="Arial"/>
                <w:color w:val="auto"/>
              </w:rPr>
            </w:pPr>
            <w:r w:rsidRPr="00183926">
              <w:rPr>
                <w:rFonts w:cs="Arial"/>
                <w:color w:val="auto"/>
              </w:rPr>
              <w:t>Service area or department</w:t>
            </w:r>
          </w:p>
        </w:tc>
        <w:tc>
          <w:tcPr>
            <w:tcW w:w="4962" w:type="dxa"/>
            <w:tcBorders>
              <w:top w:val="nil"/>
              <w:left w:val="nil"/>
              <w:bottom w:val="nil"/>
              <w:right w:val="single" w:sz="8" w:space="0" w:color="000000"/>
            </w:tcBorders>
            <w:shd w:val="clear" w:color="auto" w:fill="auto"/>
          </w:tcPr>
          <w:p w:rsidR="00E87F7A" w:rsidRPr="00183926" w:rsidRDefault="00BD0CE0" w:rsidP="007B2EDB">
            <w:pPr>
              <w:jc w:val="both"/>
              <w:rPr>
                <w:rFonts w:cs="Arial"/>
                <w:color w:val="auto"/>
              </w:rPr>
            </w:pPr>
            <w:r w:rsidRPr="00183926">
              <w:rPr>
                <w:rFonts w:cs="Arial"/>
                <w:color w:val="auto"/>
              </w:rPr>
              <w:t>Community Services</w:t>
            </w:r>
          </w:p>
        </w:tc>
      </w:tr>
      <w:tr w:rsidR="00183926" w:rsidRPr="00183926" w:rsidTr="00A46E98">
        <w:trPr>
          <w:cantSplit/>
          <w:trHeight w:val="396"/>
        </w:trPr>
        <w:tc>
          <w:tcPr>
            <w:tcW w:w="3969" w:type="dxa"/>
            <w:tcBorders>
              <w:top w:val="nil"/>
              <w:left w:val="single" w:sz="8" w:space="0" w:color="000000"/>
              <w:bottom w:val="nil"/>
              <w:right w:val="nil"/>
            </w:tcBorders>
            <w:shd w:val="clear" w:color="auto" w:fill="auto"/>
          </w:tcPr>
          <w:p w:rsidR="00E87F7A" w:rsidRPr="00183926" w:rsidRDefault="00E87F7A" w:rsidP="007B2EDB">
            <w:pPr>
              <w:jc w:val="both"/>
              <w:rPr>
                <w:rFonts w:cs="Arial"/>
                <w:color w:val="auto"/>
              </w:rPr>
            </w:pPr>
            <w:r w:rsidRPr="00183926">
              <w:rPr>
                <w:rFonts w:cs="Arial"/>
                <w:color w:val="auto"/>
              </w:rPr>
              <w:t xml:space="preserve">Telephone </w:t>
            </w:r>
          </w:p>
        </w:tc>
        <w:tc>
          <w:tcPr>
            <w:tcW w:w="4962" w:type="dxa"/>
            <w:tcBorders>
              <w:top w:val="nil"/>
              <w:left w:val="nil"/>
              <w:bottom w:val="nil"/>
              <w:right w:val="single" w:sz="8" w:space="0" w:color="000000"/>
            </w:tcBorders>
            <w:shd w:val="clear" w:color="auto" w:fill="auto"/>
          </w:tcPr>
          <w:p w:rsidR="00E87F7A" w:rsidRPr="00183926" w:rsidRDefault="00BD0CE0" w:rsidP="007B2EDB">
            <w:pPr>
              <w:jc w:val="both"/>
              <w:rPr>
                <w:rFonts w:cs="Arial"/>
                <w:color w:val="auto"/>
              </w:rPr>
            </w:pPr>
            <w:r w:rsidRPr="00183926">
              <w:rPr>
                <w:rFonts w:cs="Arial"/>
                <w:color w:val="auto"/>
              </w:rPr>
              <w:t>01865 252705</w:t>
            </w:r>
            <w:r w:rsidR="00E87F7A" w:rsidRPr="00183926">
              <w:rPr>
                <w:rFonts w:cs="Arial"/>
                <w:color w:val="auto"/>
              </w:rPr>
              <w:t xml:space="preserve">  </w:t>
            </w:r>
          </w:p>
        </w:tc>
      </w:tr>
      <w:tr w:rsidR="005570B5" w:rsidRPr="00183926"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83926" w:rsidRDefault="00E87F7A" w:rsidP="007B2EDB">
            <w:pPr>
              <w:jc w:val="both"/>
              <w:rPr>
                <w:rFonts w:cs="Arial"/>
                <w:color w:val="auto"/>
              </w:rPr>
            </w:pPr>
            <w:r w:rsidRPr="00183926">
              <w:rPr>
                <w:rFonts w:cs="Arial"/>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183926" w:rsidRDefault="00A07977" w:rsidP="007B2EDB">
            <w:pPr>
              <w:jc w:val="both"/>
              <w:rPr>
                <w:rStyle w:val="Hyperlink"/>
                <w:rFonts w:cs="Arial"/>
                <w:color w:val="auto"/>
              </w:rPr>
            </w:pPr>
            <w:hyperlink r:id="rId10" w:history="1">
              <w:r w:rsidR="00BD0CE0" w:rsidRPr="00183926">
                <w:rPr>
                  <w:rStyle w:val="Hyperlink"/>
                  <w:rFonts w:cs="Arial"/>
                  <w:color w:val="auto"/>
                </w:rPr>
                <w:t>ibrooke@oxford.gov.uk</w:t>
              </w:r>
            </w:hyperlink>
            <w:r w:rsidR="00BD0CE0" w:rsidRPr="00183926">
              <w:rPr>
                <w:rStyle w:val="Hyperlink"/>
                <w:rFonts w:cs="Arial"/>
                <w:color w:val="auto"/>
              </w:rPr>
              <w:t xml:space="preserve"> </w:t>
            </w:r>
          </w:p>
        </w:tc>
      </w:tr>
    </w:tbl>
    <w:p w:rsidR="00433B96" w:rsidRPr="00183926" w:rsidRDefault="00433B96" w:rsidP="007B2EDB">
      <w:pPr>
        <w:jc w:val="both"/>
        <w:rPr>
          <w:rFonts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83926" w:rsidRPr="00183926"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83926" w:rsidRDefault="00182B81" w:rsidP="007B2EDB">
            <w:pPr>
              <w:jc w:val="both"/>
              <w:rPr>
                <w:rFonts w:cs="Arial"/>
                <w:color w:val="auto"/>
              </w:rPr>
            </w:pPr>
            <w:r w:rsidRPr="00183926">
              <w:rPr>
                <w:rStyle w:val="Firstpagetablebold"/>
                <w:rFonts w:cs="Arial"/>
                <w:color w:val="auto"/>
              </w:rPr>
              <w:t xml:space="preserve">Background Papers: </w:t>
            </w:r>
            <w:r w:rsidRPr="00183926">
              <w:rPr>
                <w:rStyle w:val="Firstpagetablebold"/>
                <w:rFonts w:cs="Arial"/>
                <w:b w:val="0"/>
                <w:color w:val="auto"/>
              </w:rPr>
              <w:t>None</w:t>
            </w:r>
          </w:p>
        </w:tc>
      </w:tr>
    </w:tbl>
    <w:p w:rsidR="00CE4C87" w:rsidRPr="00183926" w:rsidRDefault="00CE4C87" w:rsidP="007B2EDB">
      <w:pPr>
        <w:jc w:val="both"/>
        <w:rPr>
          <w:rFonts w:cs="Arial"/>
          <w:color w:val="auto"/>
        </w:rPr>
      </w:pPr>
    </w:p>
    <w:sectPr w:rsidR="00CE4C87" w:rsidRPr="00183926"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65" w:rsidRDefault="00204965" w:rsidP="004A6D2F">
      <w:r>
        <w:separator/>
      </w:r>
    </w:p>
  </w:endnote>
  <w:endnote w:type="continuationSeparator" w:id="0">
    <w:p w:rsidR="00204965" w:rsidRDefault="0020496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charset w:val="00"/>
    <w:family w:val="swiss"/>
    <w:pitch w:val="variable"/>
    <w:sig w:usb0="00000003"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65" w:rsidRDefault="00204965" w:rsidP="004A6D2F">
      <w:r>
        <w:separator/>
      </w:r>
    </w:p>
  </w:footnote>
  <w:footnote w:type="continuationSeparator" w:id="0">
    <w:p w:rsidR="00204965" w:rsidRDefault="0020496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1C6652" w:rsidP="00D5547E">
    <w:pPr>
      <w:pStyle w:val="Header"/>
      <w:jc w:val="right"/>
    </w:pPr>
    <w:r>
      <w:rPr>
        <w:noProof/>
      </w:rPr>
      <w:drawing>
        <wp:inline distT="0" distB="0" distL="0" distR="0" wp14:anchorId="151A00A4" wp14:editId="21974D6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11431D"/>
    <w:multiLevelType w:val="hybridMultilevel"/>
    <w:tmpl w:val="27C61986"/>
    <w:lvl w:ilvl="0" w:tplc="943AF364">
      <w:start w:val="1"/>
      <w:numFmt w:val="decimal"/>
      <w:lvlText w:val="%1."/>
      <w:lvlJc w:val="left"/>
      <w:pPr>
        <w:ind w:left="644" w:hanging="360"/>
      </w:pPr>
      <w:rPr>
        <w:rFonts w:ascii="Arial Unicode MS" w:hAnsi="Arial Unicode MS" w:cs="Arial Unicode M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EB0B56"/>
    <w:multiLevelType w:val="hybridMultilevel"/>
    <w:tmpl w:val="01EE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805D79"/>
    <w:multiLevelType w:val="hybridMultilevel"/>
    <w:tmpl w:val="9CB076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242679D"/>
    <w:multiLevelType w:val="hybridMultilevel"/>
    <w:tmpl w:val="430465E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8B64DB"/>
    <w:multiLevelType w:val="hybridMultilevel"/>
    <w:tmpl w:val="27C61986"/>
    <w:lvl w:ilvl="0" w:tplc="943AF364">
      <w:start w:val="1"/>
      <w:numFmt w:val="decimal"/>
      <w:lvlText w:val="%1."/>
      <w:lvlJc w:val="left"/>
      <w:pPr>
        <w:ind w:left="644" w:hanging="360"/>
      </w:pPr>
      <w:rPr>
        <w:rFonts w:ascii="Arial Unicode MS" w:hAnsi="Arial Unicode MS" w:cs="Arial Unicode M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553E16"/>
    <w:multiLevelType w:val="hybridMultilevel"/>
    <w:tmpl w:val="27C61986"/>
    <w:lvl w:ilvl="0" w:tplc="943AF364">
      <w:start w:val="1"/>
      <w:numFmt w:val="decimal"/>
      <w:lvlText w:val="%1."/>
      <w:lvlJc w:val="left"/>
      <w:pPr>
        <w:ind w:left="644" w:hanging="360"/>
      </w:pPr>
      <w:rPr>
        <w:rFonts w:ascii="Arial Unicode MS" w:hAnsi="Arial Unicode MS" w:cs="Arial Unicode M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B5627D"/>
    <w:multiLevelType w:val="hybridMultilevel"/>
    <w:tmpl w:val="3A9E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1731DD0"/>
    <w:multiLevelType w:val="hybridMultilevel"/>
    <w:tmpl w:val="27C61986"/>
    <w:lvl w:ilvl="0" w:tplc="943AF364">
      <w:start w:val="1"/>
      <w:numFmt w:val="decimal"/>
      <w:lvlText w:val="%1."/>
      <w:lvlJc w:val="left"/>
      <w:pPr>
        <w:ind w:left="644" w:hanging="360"/>
      </w:pPr>
      <w:rPr>
        <w:rFonts w:ascii="Arial Unicode MS" w:hAnsi="Arial Unicode MS" w:cs="Arial Unicode M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83169C"/>
    <w:multiLevelType w:val="hybridMultilevel"/>
    <w:tmpl w:val="27C61986"/>
    <w:lvl w:ilvl="0" w:tplc="943AF364">
      <w:start w:val="1"/>
      <w:numFmt w:val="decimal"/>
      <w:lvlText w:val="%1."/>
      <w:lvlJc w:val="left"/>
      <w:pPr>
        <w:ind w:left="644" w:hanging="360"/>
      </w:pPr>
      <w:rPr>
        <w:rFonts w:ascii="Arial Unicode MS" w:hAnsi="Arial Unicode MS" w:cs="Arial Unicode M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8365C6"/>
    <w:multiLevelType w:val="multilevel"/>
    <w:tmpl w:val="E67CE66C"/>
    <w:numStyleLink w:val="StyleNumberedLeft0cmHanging075cm"/>
  </w:abstractNum>
  <w:num w:numId="1">
    <w:abstractNumId w:val="0"/>
  </w:num>
  <w:num w:numId="2">
    <w:abstractNumId w:val="13"/>
  </w:num>
  <w:num w:numId="3">
    <w:abstractNumId w:val="2"/>
  </w:num>
  <w:num w:numId="4">
    <w:abstractNumId w:val="1"/>
  </w:num>
  <w:num w:numId="5">
    <w:abstractNumId w:val="10"/>
  </w:num>
  <w:num w:numId="6">
    <w:abstractNumId w:val="6"/>
  </w:num>
  <w:num w:numId="7">
    <w:abstractNumId w:val="12"/>
  </w:num>
  <w:num w:numId="8">
    <w:abstractNumId w:val="4"/>
  </w:num>
  <w:num w:numId="9">
    <w:abstractNumId w:val="9"/>
  </w:num>
  <w:num w:numId="10">
    <w:abstractNumId w:val="5"/>
  </w:num>
  <w:num w:numId="11">
    <w:abstractNumId w:val="8"/>
  </w:num>
  <w:num w:numId="12">
    <w:abstractNumId w:val="11"/>
  </w:num>
  <w:num w:numId="13">
    <w:abstractNumId w:val="7"/>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52"/>
    <w:rsid w:val="000117D4"/>
    <w:rsid w:val="000314D7"/>
    <w:rsid w:val="00045F8B"/>
    <w:rsid w:val="00046D2B"/>
    <w:rsid w:val="00056263"/>
    <w:rsid w:val="00064D8A"/>
    <w:rsid w:val="00064F82"/>
    <w:rsid w:val="00066510"/>
    <w:rsid w:val="00077523"/>
    <w:rsid w:val="00083179"/>
    <w:rsid w:val="000C089F"/>
    <w:rsid w:val="000C3928"/>
    <w:rsid w:val="000C5E8E"/>
    <w:rsid w:val="000D2E3B"/>
    <w:rsid w:val="000F4751"/>
    <w:rsid w:val="0010524C"/>
    <w:rsid w:val="00111FB1"/>
    <w:rsid w:val="00113418"/>
    <w:rsid w:val="001247C2"/>
    <w:rsid w:val="001356F1"/>
    <w:rsid w:val="00136994"/>
    <w:rsid w:val="0014128E"/>
    <w:rsid w:val="00151888"/>
    <w:rsid w:val="00170A2D"/>
    <w:rsid w:val="001808BC"/>
    <w:rsid w:val="00182B81"/>
    <w:rsid w:val="00183926"/>
    <w:rsid w:val="0018619D"/>
    <w:rsid w:val="001A011E"/>
    <w:rsid w:val="001A066A"/>
    <w:rsid w:val="001A13E6"/>
    <w:rsid w:val="001A2FE0"/>
    <w:rsid w:val="001A5731"/>
    <w:rsid w:val="001B42C3"/>
    <w:rsid w:val="001C5D5E"/>
    <w:rsid w:val="001C6652"/>
    <w:rsid w:val="001D678D"/>
    <w:rsid w:val="001E03F8"/>
    <w:rsid w:val="001E1678"/>
    <w:rsid w:val="001E3376"/>
    <w:rsid w:val="00204965"/>
    <w:rsid w:val="002069B3"/>
    <w:rsid w:val="00210C91"/>
    <w:rsid w:val="002329CF"/>
    <w:rsid w:val="00232F5B"/>
    <w:rsid w:val="00247C29"/>
    <w:rsid w:val="00260467"/>
    <w:rsid w:val="00263EA3"/>
    <w:rsid w:val="00274D7C"/>
    <w:rsid w:val="00284F85"/>
    <w:rsid w:val="00290915"/>
    <w:rsid w:val="002A22E2"/>
    <w:rsid w:val="002C64F7"/>
    <w:rsid w:val="002F41F2"/>
    <w:rsid w:val="00301BF3"/>
    <w:rsid w:val="0030208D"/>
    <w:rsid w:val="0030445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8A"/>
    <w:rsid w:val="004A2007"/>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D305D"/>
    <w:rsid w:val="005E022E"/>
    <w:rsid w:val="005E5215"/>
    <w:rsid w:val="005F7F7E"/>
    <w:rsid w:val="00614693"/>
    <w:rsid w:val="00623C2F"/>
    <w:rsid w:val="00633578"/>
    <w:rsid w:val="00637068"/>
    <w:rsid w:val="00650811"/>
    <w:rsid w:val="00661D3E"/>
    <w:rsid w:val="00681C83"/>
    <w:rsid w:val="00692627"/>
    <w:rsid w:val="006969E7"/>
    <w:rsid w:val="006A3643"/>
    <w:rsid w:val="006C2A29"/>
    <w:rsid w:val="006C411C"/>
    <w:rsid w:val="006C64CF"/>
    <w:rsid w:val="006D17B1"/>
    <w:rsid w:val="006D4752"/>
    <w:rsid w:val="006D708A"/>
    <w:rsid w:val="006E14C1"/>
    <w:rsid w:val="006F0292"/>
    <w:rsid w:val="006F27FA"/>
    <w:rsid w:val="006F416B"/>
    <w:rsid w:val="006F519B"/>
    <w:rsid w:val="006F701C"/>
    <w:rsid w:val="00713675"/>
    <w:rsid w:val="00715823"/>
    <w:rsid w:val="00737B93"/>
    <w:rsid w:val="00745BF0"/>
    <w:rsid w:val="00760071"/>
    <w:rsid w:val="007615FE"/>
    <w:rsid w:val="0076655C"/>
    <w:rsid w:val="007742DC"/>
    <w:rsid w:val="00791437"/>
    <w:rsid w:val="007A3AE2"/>
    <w:rsid w:val="007B0C2C"/>
    <w:rsid w:val="007B278E"/>
    <w:rsid w:val="007B2EDB"/>
    <w:rsid w:val="007C5C23"/>
    <w:rsid w:val="007D618F"/>
    <w:rsid w:val="007E2A26"/>
    <w:rsid w:val="007F2348"/>
    <w:rsid w:val="00803F07"/>
    <w:rsid w:val="0080749A"/>
    <w:rsid w:val="00816E4A"/>
    <w:rsid w:val="00821FB8"/>
    <w:rsid w:val="00822ACD"/>
    <w:rsid w:val="00855C66"/>
    <w:rsid w:val="00871EE4"/>
    <w:rsid w:val="008B293F"/>
    <w:rsid w:val="008B7371"/>
    <w:rsid w:val="008C575B"/>
    <w:rsid w:val="008D1577"/>
    <w:rsid w:val="008D3DDB"/>
    <w:rsid w:val="008F573F"/>
    <w:rsid w:val="009034EC"/>
    <w:rsid w:val="009121E7"/>
    <w:rsid w:val="00913B6D"/>
    <w:rsid w:val="0093067A"/>
    <w:rsid w:val="00935696"/>
    <w:rsid w:val="00941C60"/>
    <w:rsid w:val="00966D42"/>
    <w:rsid w:val="00971689"/>
    <w:rsid w:val="00973E90"/>
    <w:rsid w:val="00975B07"/>
    <w:rsid w:val="009761C7"/>
    <w:rsid w:val="00980B4A"/>
    <w:rsid w:val="009E3D0A"/>
    <w:rsid w:val="009E51FC"/>
    <w:rsid w:val="009F1D28"/>
    <w:rsid w:val="009F7618"/>
    <w:rsid w:val="00A04D23"/>
    <w:rsid w:val="00A06766"/>
    <w:rsid w:val="00A07977"/>
    <w:rsid w:val="00A13765"/>
    <w:rsid w:val="00A21B12"/>
    <w:rsid w:val="00A23F80"/>
    <w:rsid w:val="00A4446A"/>
    <w:rsid w:val="00A46E98"/>
    <w:rsid w:val="00A50A76"/>
    <w:rsid w:val="00A6352B"/>
    <w:rsid w:val="00A701B5"/>
    <w:rsid w:val="00A714BB"/>
    <w:rsid w:val="00A92D8F"/>
    <w:rsid w:val="00AB2988"/>
    <w:rsid w:val="00AB7999"/>
    <w:rsid w:val="00AD3292"/>
    <w:rsid w:val="00AE7AF0"/>
    <w:rsid w:val="00AF6A55"/>
    <w:rsid w:val="00B15FF0"/>
    <w:rsid w:val="00B23D86"/>
    <w:rsid w:val="00B500CA"/>
    <w:rsid w:val="00B53179"/>
    <w:rsid w:val="00B86314"/>
    <w:rsid w:val="00B94591"/>
    <w:rsid w:val="00BA1C2E"/>
    <w:rsid w:val="00BC200B"/>
    <w:rsid w:val="00BC4756"/>
    <w:rsid w:val="00BC69A4"/>
    <w:rsid w:val="00BD0CE0"/>
    <w:rsid w:val="00BE0680"/>
    <w:rsid w:val="00BE305F"/>
    <w:rsid w:val="00BE7BA3"/>
    <w:rsid w:val="00BF5682"/>
    <w:rsid w:val="00BF7B09"/>
    <w:rsid w:val="00C164B1"/>
    <w:rsid w:val="00C20A95"/>
    <w:rsid w:val="00C2692F"/>
    <w:rsid w:val="00C3207C"/>
    <w:rsid w:val="00C400E1"/>
    <w:rsid w:val="00C41187"/>
    <w:rsid w:val="00C63C31"/>
    <w:rsid w:val="00C757A0"/>
    <w:rsid w:val="00C760DE"/>
    <w:rsid w:val="00C77F25"/>
    <w:rsid w:val="00C82630"/>
    <w:rsid w:val="00C85B4E"/>
    <w:rsid w:val="00C907F7"/>
    <w:rsid w:val="00C9333F"/>
    <w:rsid w:val="00C95401"/>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B2B35"/>
    <w:rsid w:val="00DC3060"/>
    <w:rsid w:val="00DC5722"/>
    <w:rsid w:val="00DE0FB2"/>
    <w:rsid w:val="00DE5531"/>
    <w:rsid w:val="00DF093E"/>
    <w:rsid w:val="00E01F42"/>
    <w:rsid w:val="00E206D6"/>
    <w:rsid w:val="00E3366E"/>
    <w:rsid w:val="00E52086"/>
    <w:rsid w:val="00E543A6"/>
    <w:rsid w:val="00E60479"/>
    <w:rsid w:val="00E61D73"/>
    <w:rsid w:val="00E73684"/>
    <w:rsid w:val="00E818D6"/>
    <w:rsid w:val="00E85B88"/>
    <w:rsid w:val="00E87F7A"/>
    <w:rsid w:val="00E96BD7"/>
    <w:rsid w:val="00EA0DB1"/>
    <w:rsid w:val="00EA0EE9"/>
    <w:rsid w:val="00ED52CA"/>
    <w:rsid w:val="00ED5860"/>
    <w:rsid w:val="00EE35C9"/>
    <w:rsid w:val="00F05ECA"/>
    <w:rsid w:val="00F12990"/>
    <w:rsid w:val="00F33AF7"/>
    <w:rsid w:val="00F3566E"/>
    <w:rsid w:val="00F375FB"/>
    <w:rsid w:val="00F415DF"/>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D60B7"/>
    <w:rsid w:val="00FE57DC"/>
    <w:rsid w:val="00FF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TableText">
    <w:name w:val="Table Text"/>
    <w:basedOn w:val="Normal"/>
    <w:rsid w:val="009121E7"/>
    <w:pPr>
      <w:spacing w:before="120"/>
    </w:pPr>
    <w:rPr>
      <w:rFonts w:ascii="Gill Sans MT" w:eastAsia="SimSun" w:hAnsi="Gill Sans MT"/>
      <w:color w:val="auto"/>
      <w:sz w:val="20"/>
      <w:lang w:eastAsia="zh-CN"/>
    </w:rPr>
  </w:style>
  <w:style w:type="character" w:customStyle="1" w:styleId="bumpedfont15">
    <w:name w:val="bumpedfont15"/>
    <w:rsid w:val="00304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TableText">
    <w:name w:val="Table Text"/>
    <w:basedOn w:val="Normal"/>
    <w:rsid w:val="009121E7"/>
    <w:pPr>
      <w:spacing w:before="120"/>
    </w:pPr>
    <w:rPr>
      <w:rFonts w:ascii="Gill Sans MT" w:eastAsia="SimSun" w:hAnsi="Gill Sans MT"/>
      <w:color w:val="auto"/>
      <w:sz w:val="20"/>
      <w:lang w:eastAsia="zh-CN"/>
    </w:rPr>
  </w:style>
  <w:style w:type="character" w:customStyle="1" w:styleId="bumpedfont15">
    <w:name w:val="bumpedfont15"/>
    <w:rsid w:val="0030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1812891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929136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brooke@oxford.gov.uk" TargetMode="External"/><Relationship Id="rId4" Type="http://schemas.microsoft.com/office/2007/relationships/stylesWithEffects" Target="stylesWithEffects.xml"/><Relationship Id="rId9" Type="http://schemas.openxmlformats.org/officeDocument/2006/relationships/hyperlink" Target="http://www.tourofbritain.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ooke\Downloads\CEB%20report%20-%20blank%20template%20to%20be%20used%20from%20January%202016%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DA8B-849B-43D5-8058-A609F2D1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(2)</Template>
  <TotalTime>10</TotalTime>
  <Pages>4</Pages>
  <Words>1431</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IBrooke</dc:creator>
  <cp:lastModifiedBy>JMitchell</cp:lastModifiedBy>
  <cp:revision>5</cp:revision>
  <cp:lastPrinted>2015-07-03T13:50:00Z</cp:lastPrinted>
  <dcterms:created xsi:type="dcterms:W3CDTF">2019-05-10T11:29:00Z</dcterms:created>
  <dcterms:modified xsi:type="dcterms:W3CDTF">2019-05-20T12:02:00Z</dcterms:modified>
</cp:coreProperties>
</file>